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fontTable.xml" ContentType="application/vnd.openxmlformats-officedocument.wordprocessingml.fontTable+xml"/>
  <Override PartName="/word/settings.xml" ContentType="application/vnd.openxmlformats-officedocument.wordprocessingml.settings+xml"/>
  <Override PartName="/docProps/core.xml" ContentType="application/vnd.openxmlformats-package.core-properties+xml"/>
  <Override PartName="/word/styles.xml" ContentType="application/vnd.openxmlformats-officedocument.wordprocessingml.styles+xml"/>
  <Override PartName="/docProps/app.xml" ContentType="application/vnd.openxmlformats-officedocument.extended-properties+xml"/>
  <Override PartName="/word/numbering.xml" ContentType="application/vnd.openxmlformats-officedocument.wordprocessingml.numbering+xml"/>
  <Override PartName="/word/document.xml" ContentType="application/vnd.openxmlformats-officedocument.wordprocessingml.document.main+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pic="http://schemas.openxmlformats.org/drawingml/2006/picture" xmlns:wp="http://schemas.openxmlformats.org/drawingml/2006/wordprocessingDrawing" xmlns:a="http://schemas.openxmlformats.org/drawingml/2006/main" xmlns:w="http://schemas.openxmlformats.org/wordprocessingml/2006/main" xmlns:r="http://schemas.openxmlformats.org/officeDocument/2006/relationships">
  <w:body>
    <w:p>
      <w:pPr>
        <w:pStyle w:val="rdbvau"/>
        <w:numPr/>
        <w:jc w:val="left"/>
        <w:rPr/>
      </w:pPr>
      <w:r>
        <w:rPr/>
        <w:t>多级部署</w:t>
      </w:r>
      <w:r>
        <w:rPr/>
        <w:t>产品</w:t>
      </w:r>
      <w:r>
        <w:rPr/>
        <w:t>解决方案</w:t>
      </w:r>
    </w:p>
    <w:p>
      <w:pPr>
        <w:pStyle w:val="gyd6uq"/>
        <w:numPr>
          <w:ilvl w:val="0"/>
          <w:numId w:val="1"/>
        </w:numPr>
        <w:pBdr>
          <w:bottom/>
        </w:pBdr>
        <w:rPr/>
      </w:pPr>
      <w:r>
        <w:rPr/>
        <w:t>术语</w:t>
      </w:r>
    </w:p>
    <w:tbl>
      <w:tblPr>
        <w:tblStyle w:val="vqngml"/>
        <w:tblLayout w:type="fixed"/>
        <w:tblLook/>
      </w:tblPr>
      <w:tblGrid>
        <w:gridCol w:w="720"/>
        <w:gridCol w:w="1965"/>
        <w:gridCol w:w="8655"/>
      </w:tblGrid>
      <w:tr>
        <w:trPr>
          <w:wBefore/>
          <w:trHeight/>
        </w:trPr>
        <w:tc>
          <w:tcPr>
            <w:tcW w:w="720" w:type="dxa"/>
            <w:shd w:val="clear" w:color="auto" w:fill="C7DCFF"/>
          </w:tcPr>
          <w:p>
            <w:pPr>
              <w:numPr/>
              <w:jc w:val="center"/>
              <w:rPr>
                <w:b/>
              </w:rPr>
            </w:pPr>
            <w:r>
              <w:rPr>
                <w:b/>
              </w:rPr>
              <w:t>序号</w:t>
            </w:r>
          </w:p>
        </w:tc>
        <w:tc>
          <w:tcPr>
            <w:tcW w:w="1965" w:type="dxa"/>
            <w:shd w:val="clear" w:color="auto" w:fill="C7DCFF"/>
          </w:tcPr>
          <w:p>
            <w:pPr>
              <w:numPr/>
              <w:jc w:val="center"/>
              <w:rPr>
                <w:b/>
              </w:rPr>
            </w:pPr>
            <w:r>
              <w:rPr>
                <w:b/>
              </w:rPr>
              <w:t>术语</w:t>
            </w:r>
          </w:p>
        </w:tc>
        <w:tc>
          <w:tcPr>
            <w:tcW w:w="8655" w:type="dxa"/>
            <w:shd w:val="clear" w:color="auto" w:fill="C7DCFF"/>
          </w:tcPr>
          <w:p>
            <w:pPr>
              <w:numPr/>
              <w:jc w:val="center"/>
              <w:rPr>
                <w:b/>
              </w:rPr>
            </w:pPr>
            <w:r>
              <w:rPr>
                <w:b/>
              </w:rPr>
              <w:t>说明</w:t>
            </w:r>
          </w:p>
        </w:tc>
      </w:tr>
      <w:tr>
        <w:trPr>
          <w:wBefore/>
          <w:trHeight/>
        </w:trPr>
        <w:tc>
          <w:tcPr>
            <w:tcW w:w="720" w:type="dxa"/>
          </w:tcPr>
          <w:p>
            <w:pPr>
              <w:numPr/>
              <w:rPr/>
            </w:pPr>
            <w:r>
              <w:rPr/>
              <w:t>1</w:t>
            </w:r>
          </w:p>
        </w:tc>
        <w:tc>
          <w:tcPr>
            <w:tcW w:w="1965" w:type="dxa"/>
          </w:tcPr>
          <w:p>
            <w:pPr>
              <w:numPr/>
              <w:rPr/>
            </w:pPr>
            <w:r>
              <w:rPr/>
              <w:t>上级单位</w:t>
            </w:r>
          </w:p>
        </w:tc>
        <w:tc>
          <w:tcPr>
            <w:tcW w:w="8655" w:type="dxa"/>
          </w:tcPr>
          <w:p>
            <w:pPr>
              <w:numPr/>
              <w:rPr/>
            </w:pPr>
            <w:r>
              <w:rPr/>
              <w:t>一般指国资委侧或者集团侧</w:t>
            </w:r>
          </w:p>
        </w:tc>
      </w:tr>
      <w:tr>
        <w:trPr>
          <w:wBefore/>
          <w:trHeight/>
        </w:trPr>
        <w:tc>
          <w:tcPr>
            <w:tcW w:w="720" w:type="dxa"/>
          </w:tcPr>
          <w:p>
            <w:pPr>
              <w:numPr/>
              <w:rPr/>
            </w:pPr>
            <w:r>
              <w:rPr/>
              <w:t>2</w:t>
            </w:r>
          </w:p>
        </w:tc>
        <w:tc>
          <w:tcPr>
            <w:tcW w:w="1965" w:type="dxa"/>
          </w:tcPr>
          <w:p>
            <w:pPr>
              <w:numPr/>
              <w:rPr/>
            </w:pPr>
            <w:r>
              <w:rPr/>
              <w:t>下级单位</w:t>
            </w:r>
          </w:p>
        </w:tc>
        <w:tc>
          <w:tcPr>
            <w:tcW w:w="8655" w:type="dxa"/>
          </w:tcPr>
          <w:p>
            <w:pPr>
              <w:numPr/>
              <w:rPr/>
            </w:pPr>
            <w:r>
              <w:rPr/>
              <w:t>指与国资委对应的企业侧，或与集团对应的二级企业</w:t>
            </w:r>
          </w:p>
        </w:tc>
      </w:tr>
      <w:tr>
        <w:trPr>
          <w:wBefore/>
          <w:trHeight/>
        </w:trPr>
        <w:tc>
          <w:tcPr>
            <w:tcW w:w="720" w:type="dxa"/>
          </w:tcPr>
          <w:p>
            <w:pPr>
              <w:numPr/>
              <w:rPr/>
            </w:pPr>
            <w:r>
              <w:rPr/>
              <w:t>3</w:t>
            </w:r>
          </w:p>
        </w:tc>
        <w:tc>
          <w:tcPr>
            <w:tcW w:w="1965" w:type="dxa"/>
          </w:tcPr>
          <w:p>
            <w:pPr>
              <w:numPr/>
              <w:rPr/>
            </w:pPr>
            <w:r>
              <w:rPr/>
              <w:t>参数同步</w:t>
            </w:r>
          </w:p>
        </w:tc>
        <w:tc>
          <w:tcPr>
            <w:tcW w:w="8655" w:type="dxa"/>
          </w:tcPr>
          <w:p>
            <w:pPr>
              <w:numPr/>
              <w:rPr/>
            </w:pPr>
            <w:r>
              <w:rPr/>
              <w:t>上级单位将报表任务参数，公式参数，合并体系及折算体系下发到下级单位</w:t>
            </w:r>
          </w:p>
        </w:tc>
      </w:tr>
      <w:tr>
        <w:trPr>
          <w:wBefore/>
          <w:trHeight/>
        </w:trPr>
        <w:tc>
          <w:tcPr>
            <w:tcW w:w="720" w:type="dxa"/>
          </w:tcPr>
          <w:p>
            <w:pPr>
              <w:numPr/>
              <w:rPr/>
            </w:pPr>
            <w:r>
              <w:rPr/>
              <w:t>4</w:t>
            </w:r>
          </w:p>
        </w:tc>
        <w:tc>
          <w:tcPr>
            <w:tcW w:w="1965" w:type="dxa"/>
          </w:tcPr>
          <w:p>
            <w:pPr>
              <w:numPr/>
              <w:rPr/>
            </w:pPr>
            <w:r>
              <w:rPr/>
              <w:t>数据同步</w:t>
            </w:r>
          </w:p>
        </w:tc>
        <w:tc>
          <w:tcPr>
            <w:tcW w:w="8655" w:type="dxa"/>
          </w:tcPr>
          <w:p>
            <w:pPr>
              <w:numPr/>
              <w:rPr/>
            </w:pPr>
            <w:r>
              <w:rPr/>
              <w:t>下级单位将报表数据，台账及抵销分录上传到上级单位</w:t>
            </w:r>
          </w:p>
        </w:tc>
      </w:tr>
      <w:tr>
        <w:trPr>
          <w:wBefore/>
          <w:trHeight/>
        </w:trPr>
        <w:tc>
          <w:tcPr>
            <w:tcW w:w="720" w:type="dxa"/>
          </w:tcPr>
          <w:p>
            <w:pPr>
              <w:numPr/>
              <w:rPr/>
            </w:pPr>
            <w:r>
              <w:rPr/>
              <w:t>5</w:t>
            </w:r>
          </w:p>
        </w:tc>
        <w:tc>
          <w:tcPr>
            <w:tcW w:w="1965" w:type="dxa"/>
          </w:tcPr>
          <w:p>
            <w:pPr>
              <w:numPr/>
              <w:rPr/>
            </w:pPr>
            <w:r>
              <w:rPr/>
              <w:t>全量更新</w:t>
            </w:r>
          </w:p>
        </w:tc>
        <w:tc>
          <w:tcPr>
            <w:tcW w:w="8655" w:type="dxa"/>
          </w:tcPr>
          <w:p>
            <w:pPr>
              <w:numPr/>
              <w:rPr/>
            </w:pPr>
            <w:r>
              <w:rPr/>
              <w:t>全删全增</w:t>
            </w:r>
          </w:p>
        </w:tc>
      </w:tr>
      <w:tr>
        <w:trPr>
          <w:wBefore/>
          <w:trHeight/>
        </w:trPr>
        <w:tc>
          <w:tcPr>
            <w:tcW w:w="720" w:type="dxa"/>
          </w:tcPr>
          <w:p>
            <w:pPr>
              <w:numPr/>
              <w:rPr/>
            </w:pPr>
            <w:r>
              <w:rPr/>
              <w:t>5</w:t>
            </w:r>
          </w:p>
        </w:tc>
        <w:tc>
          <w:tcPr>
            <w:tcW w:w="1965" w:type="dxa"/>
          </w:tcPr>
          <w:p>
            <w:pPr>
              <w:numPr/>
              <w:rPr/>
            </w:pPr>
            <w:r>
              <w:rPr/>
              <w:t>增量更新</w:t>
            </w:r>
          </w:p>
        </w:tc>
        <w:tc>
          <w:tcPr>
            <w:tcW w:w="8655" w:type="dxa"/>
          </w:tcPr>
          <w:p>
            <w:pPr>
              <w:numPr/>
              <w:pBdr>
                <w:bottom/>
              </w:pBdr>
              <w:rPr/>
            </w:pPr>
            <w:r>
              <w:rPr/>
              <w:t>按照指定粒度更新</w:t>
            </w:r>
          </w:p>
        </w:tc>
      </w:tr>
    </w:tbl>
    <w:p>
      <w:pPr>
        <w:pStyle w:val="ablt93"/>
        <w:pBdr/>
        <w:rPr/>
      </w:pPr>
    </w:p>
    <w:p>
      <w:pPr>
        <w:pStyle w:val="gyd6uq"/>
        <w:numPr>
          <w:ilvl w:val="0"/>
          <w:numId w:val="1"/>
        </w:numPr>
        <w:pBdr/>
        <w:rPr/>
      </w:pPr>
      <w:r>
        <w:rPr/>
        <w:t>背景</w:t>
      </w:r>
    </w:p>
    <w:p>
      <w:pPr>
        <w:pBdr/>
        <w:ind w:left="0" w:firstLineChars="200"/>
        <w:rPr/>
      </w:pPr>
      <w:r>
        <w:rPr/>
        <w:t>国资委财务监管处负责监管企业财务预决算工作，面对效率和质量的双重压力，以及监管企业经营规模的扩大和产业类型的增加，在财务监管报表数据管理及应用方面，各相关部门以及相关领导对披露数据的质量、实效性要求越来越高。国资委及各企业财务部门在进行财务数据及其他数据编制时，工作量也随之加大，特别是每年上报国资委快报、决算和预算工作，以及子公司的数据收集、汇总、分析、合并工作，目前操作方式从时效性、准确性、灵活性上都不能跟上企业发展的步伐；企业内部，集团管理所有下级单位的财务数据，二级单位单独部署独立管理，在数据上报集团时跨服务存在时效性低，数据准确度不高，操作繁琐等问题；</w:t>
      </w:r>
    </w:p>
    <w:p>
      <w:pPr>
        <w:ind w:left="0" w:firstLineChars="200"/>
        <w:rPr/>
      </w:pPr>
      <w:r>
        <w:rPr/>
        <w:t>在财务监管数据管理方面遇到了如下问题：</w:t>
      </w:r>
    </w:p>
    <w:p>
      <w:pPr>
        <w:rPr/>
      </w:pPr>
      <w:r>
        <w:rPr/>
        <w:t>1、以参数下发上收形式收集，易出现版本差异且无法查看报送状态。</w:t>
      </w:r>
    </w:p>
    <w:p>
      <w:pPr>
        <w:rPr/>
      </w:pPr>
      <w:r>
        <w:rPr/>
        <w:t>2、逐家审核，线下沟通重新上报，工作量大且效率有待提升。</w:t>
      </w:r>
    </w:p>
    <w:p>
      <w:pPr>
        <w:rPr/>
      </w:pPr>
      <w:r>
        <w:rPr/>
        <w:t>3、财务数据整合困难，缺少有效的分析工具。</w:t>
      </w:r>
    </w:p>
    <w:p>
      <w:pPr>
        <w:rPr/>
      </w:pPr>
      <w:r>
        <w:rPr/>
        <w:t>4、数据重复报送，数据共享性相对滞后。</w:t>
      </w:r>
    </w:p>
    <w:p>
      <w:pPr>
        <w:rPr/>
      </w:pPr>
      <w:r>
        <w:rPr/>
        <w:t>本次多级部署模块内容，针对上下级分开部署、需要跨服务进行数据报送和数据同步的场景，主要完成了以下方面：</w:t>
      </w:r>
    </w:p>
    <w:p>
      <w:pPr>
        <w:rPr/>
      </w:pPr>
      <w:r>
        <w:rPr/>
        <w:t>1、实现报表及合并数据的参数的“在线更新”：参数由上级统一维护下发，下级自动在线更新。</w:t>
      </w:r>
    </w:p>
    <w:p>
      <w:pPr>
        <w:numPr>
          <w:ilvl w:val="0"/>
          <w:numId w:val="2"/>
        </w:numPr>
        <w:pBdr/>
        <w:rPr/>
      </w:pPr>
      <w:r>
        <w:rPr/>
        <w:t>实现报表及合并数据的“一键收集”：通过统一的女娲报表数据采集集成平台，下级实现一键推送数据至上级系统。</w:t>
      </w:r>
    </w:p>
    <w:p>
      <w:pPr>
        <w:pStyle w:val="gyd6uq"/>
        <w:numPr>
          <w:ilvl w:val="0"/>
          <w:numId w:val="1"/>
        </w:numPr>
        <w:pBdr/>
        <w:rPr/>
      </w:pPr>
      <w:r>
        <w:rPr/>
        <w:t>业务流程</w:t>
      </w:r>
    </w:p>
    <w:p>
      <w:pPr>
        <w:pStyle w:val="ablt93"/>
        <w:pBdr/>
        <w:rPr/>
      </w:pPr>
      <w:r>
        <w:rPr/>
        <w:drawing>
          <wp:inline distT="0" distB="0" distL="0" distR="0">
            <wp:extent cx="9715500" cy="8373770"/>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4"/>
                    <a:srcRect/>
                    <a:stretch/>
                  </pic:blipFill>
                  <pic:spPr>
                    <a:xfrm>
                      <a:off x="0" y="0"/>
                      <a:ext cx="9715500" cy="8373770"/>
                    </a:xfrm>
                    <a:prstGeom prst="rect">
                      <a:avLst/>
                    </a:prstGeom>
                    <a:solidFill/>
                    <a:ln/>
                  </pic:spPr>
                </pic:pic>
              </a:graphicData>
            </a:graphic>
          </wp:inline>
        </w:drawing>
      </w:r>
    </w:p>
    <w:p>
      <w:pPr>
        <w:pStyle w:val="ablt93"/>
        <w:ind w:left="0"/>
        <w:rPr/>
      </w:pPr>
    </w:p>
    <w:tbl>
      <w:tblPr>
        <w:tblStyle w:val="vqngml"/>
        <w:tblLayout w:type="fixed"/>
        <w:tblLook/>
      </w:tblPr>
      <w:tblGrid>
        <w:gridCol w:w="735"/>
        <w:gridCol w:w="2250"/>
        <w:gridCol w:w="5520"/>
        <w:gridCol w:w="3660"/>
      </w:tblGrid>
      <w:tr>
        <w:trPr>
          <w:wBefore/>
          <w:trHeight/>
        </w:trPr>
        <w:tc>
          <w:tcPr>
            <w:tcW w:w="735" w:type="dxa"/>
            <w:shd w:val="clear" w:color="auto" w:fill="C7DCFF"/>
          </w:tcPr>
          <w:p>
            <w:pPr>
              <w:numPr/>
              <w:jc w:val="center"/>
              <w:rPr>
                <w:b/>
              </w:rPr>
            </w:pPr>
            <w:r>
              <w:rPr>
                <w:b/>
              </w:rPr>
              <w:t>序号</w:t>
            </w:r>
          </w:p>
        </w:tc>
        <w:tc>
          <w:tcPr>
            <w:tcW w:w="2250" w:type="dxa"/>
            <w:shd w:val="clear" w:color="auto" w:fill="C7DCFF"/>
          </w:tcPr>
          <w:p>
            <w:pPr>
              <w:numPr/>
              <w:rPr>
                <w:b/>
              </w:rPr>
            </w:pPr>
            <w:r>
              <w:rPr>
                <w:b/>
              </w:rPr>
              <w:t>流程节点</w:t>
            </w:r>
          </w:p>
        </w:tc>
        <w:tc>
          <w:tcPr>
            <w:tcW w:w="5520" w:type="dxa"/>
            <w:shd w:val="clear" w:color="auto" w:fill="C7DCFF"/>
          </w:tcPr>
          <w:p>
            <w:pPr>
              <w:numPr/>
              <w:rPr>
                <w:b/>
              </w:rPr>
            </w:pPr>
            <w:r>
              <w:rPr>
                <w:b/>
              </w:rPr>
              <w:t>流程说明</w:t>
            </w:r>
          </w:p>
        </w:tc>
        <w:tc>
          <w:tcPr>
            <w:tcW w:w="3660" w:type="dxa"/>
            <w:shd w:val="clear" w:color="auto" w:fill="C7DCFF"/>
          </w:tcPr>
          <w:p>
            <w:pPr>
              <w:numPr/>
              <w:rPr>
                <w:b/>
              </w:rPr>
            </w:pPr>
            <w:r>
              <w:rPr>
                <w:b/>
              </w:rPr>
              <w:t>备注</w:t>
            </w:r>
          </w:p>
        </w:tc>
      </w:tr>
      <w:tr>
        <w:trPr>
          <w:wBefore/>
          <w:trHeight/>
        </w:trPr>
        <w:tc>
          <w:tcPr>
            <w:tcW w:w="735" w:type="dxa"/>
          </w:tcPr>
          <w:p>
            <w:pPr>
              <w:numPr/>
              <w:jc w:val="center"/>
              <w:rPr/>
            </w:pPr>
            <w:r>
              <w:rPr/>
              <w:t>1</w:t>
            </w:r>
          </w:p>
        </w:tc>
        <w:tc>
          <w:tcPr>
            <w:tcW w:w="2250" w:type="dxa"/>
          </w:tcPr>
          <w:p>
            <w:pPr>
              <w:numPr/>
              <w:rPr/>
            </w:pPr>
            <w:r>
              <w:rPr/>
              <w:t>参数同步</w:t>
            </w:r>
          </w:p>
        </w:tc>
        <w:tc>
          <w:tcPr>
            <w:tcW w:w="5520" w:type="dxa"/>
          </w:tcPr>
          <w:p>
            <w:pPr>
              <w:numPr/>
              <w:pBdr>
                <w:bottom/>
              </w:pBdr>
              <w:ind w:left="0"/>
              <w:rPr/>
            </w:pPr>
            <w:r>
              <w:rPr/>
              <w:t>当上级单位需要下属企业使用统一报表参数进行数据上报时，上级单位的参数管理员将参数包下发到下级。</w:t>
            </w:r>
          </w:p>
        </w:tc>
        <w:tc>
          <w:tcPr>
            <w:tcW w:w="3660" w:type="dxa"/>
          </w:tcPr>
          <w:p>
            <w:pPr>
              <w:numPr>
                <w:ilvl w:val="0"/>
                <w:numId w:val="3"/>
              </w:numPr>
              <w:pBdr>
                <w:bottom/>
              </w:pBdr>
              <w:rPr/>
            </w:pPr>
            <w:r>
              <w:rPr/>
              <w:t>下发方式：直连 / FTP / 其他</w:t>
            </w:r>
          </w:p>
        </w:tc>
      </w:tr>
      <w:tr>
        <w:trPr>
          <w:wBefore/>
          <w:trHeight/>
        </w:trPr>
        <w:tc>
          <w:tcPr>
            <w:tcW w:w="735" w:type="dxa"/>
          </w:tcPr>
          <w:p>
            <w:pPr>
              <w:numPr/>
              <w:jc w:val="center"/>
              <w:rPr/>
            </w:pPr>
            <w:r>
              <w:rPr/>
              <w:t>2</w:t>
            </w:r>
          </w:p>
        </w:tc>
        <w:tc>
          <w:tcPr>
            <w:tcW w:w="2250" w:type="dxa"/>
          </w:tcPr>
          <w:p>
            <w:pPr>
              <w:numPr/>
              <w:pBdr>
                <w:bottom/>
              </w:pBdr>
              <w:rPr/>
            </w:pPr>
            <w:r>
              <w:rPr/>
              <w:t>参数更新</w:t>
            </w:r>
          </w:p>
        </w:tc>
        <w:tc>
          <w:tcPr>
            <w:tcW w:w="5520" w:type="dxa"/>
          </w:tcPr>
          <w:p>
            <w:pPr>
              <w:numPr/>
              <w:pBdr>
                <w:bottom/>
              </w:pBdr>
              <w:ind w:left="0"/>
              <w:rPr/>
            </w:pPr>
            <w:r>
              <w:rPr/>
              <w:t>下级单位的参数管理员接收到上级单位同步的参数包后，将参数包更新到本级服务中，实现上下级单位的报表参数一致。</w:t>
            </w:r>
          </w:p>
        </w:tc>
        <w:tc>
          <w:tcPr>
            <w:tcW w:w="3660" w:type="dxa"/>
          </w:tcPr>
          <w:p>
            <w:pPr>
              <w:numPr/>
              <w:rPr/>
            </w:pPr>
          </w:p>
        </w:tc>
      </w:tr>
      <w:tr>
        <w:trPr>
          <w:wBefore/>
          <w:trHeight/>
        </w:trPr>
        <w:tc>
          <w:tcPr>
            <w:tcW w:w="735" w:type="dxa"/>
          </w:tcPr>
          <w:p>
            <w:pPr>
              <w:numPr/>
              <w:jc w:val="both"/>
              <w:rPr/>
            </w:pPr>
            <w:r>
              <w:rPr/>
              <w:t>3</w:t>
            </w:r>
          </w:p>
        </w:tc>
        <w:tc>
          <w:tcPr>
            <w:tcW w:w="2250" w:type="dxa"/>
          </w:tcPr>
          <w:p>
            <w:pPr>
              <w:numPr/>
              <w:pBdr>
                <w:bottom/>
              </w:pBdr>
              <w:rPr/>
            </w:pPr>
            <w:r>
              <w:rPr/>
              <w:t>数据上报</w:t>
            </w:r>
          </w:p>
        </w:tc>
        <w:tc>
          <w:tcPr>
            <w:tcW w:w="5520" w:type="dxa"/>
          </w:tcPr>
          <w:p>
            <w:pPr>
              <w:numPr>
                <w:ilvl w:val="0"/>
                <w:numId w:val="4"/>
              </w:numPr>
              <w:pBdr/>
              <w:rPr/>
            </w:pPr>
            <w:r>
              <w:rPr/>
              <w:t>下级单位在上级单位同步的参数基础上进行数据填报。</w:t>
            </w:r>
          </w:p>
          <w:p>
            <w:pPr>
              <w:numPr>
                <w:ilvl w:val="0"/>
                <w:numId w:val="4"/>
              </w:numPr>
              <w:pBdr>
                <w:bottom/>
              </w:pBdr>
              <w:rPr/>
            </w:pPr>
            <w:r>
              <w:rPr/>
              <w:t>下级单位数据管理员将数据上报至上级单位。</w:t>
            </w:r>
          </w:p>
        </w:tc>
        <w:tc>
          <w:tcPr>
            <w:tcW w:w="3660" w:type="dxa"/>
          </w:tcPr>
          <w:p>
            <w:pPr>
              <w:numPr>
                <w:ilvl w:val="0"/>
                <w:numId w:val="5"/>
              </w:numPr>
              <w:pBdr/>
              <w:rPr/>
            </w:pPr>
            <w:r>
              <w:rPr/>
              <w:t>数据上报支持标准（NRD)格式和jio格式</w:t>
            </w:r>
          </w:p>
          <w:p>
            <w:pPr>
              <w:numPr>
                <w:ilvl w:val="0"/>
                <w:numId w:val="5"/>
              </w:numPr>
              <w:rPr/>
            </w:pPr>
            <w:r>
              <w:rPr/>
              <w:t>支持在线上报和离线上报</w:t>
            </w:r>
          </w:p>
        </w:tc>
      </w:tr>
      <w:tr>
        <w:trPr>
          <w:wBefore/>
          <w:trHeight/>
        </w:trPr>
        <w:tc>
          <w:tcPr>
            <w:tcW w:w="735" w:type="dxa"/>
          </w:tcPr>
          <w:p>
            <w:pPr>
              <w:numPr/>
              <w:jc w:val="center"/>
              <w:rPr/>
            </w:pPr>
            <w:r>
              <w:rPr/>
              <w:t>4</w:t>
            </w:r>
          </w:p>
        </w:tc>
        <w:tc>
          <w:tcPr>
            <w:tcW w:w="2250" w:type="dxa"/>
          </w:tcPr>
          <w:p>
            <w:pPr>
              <w:numPr/>
              <w:pBdr>
                <w:bottom/>
              </w:pBdr>
              <w:rPr/>
            </w:pPr>
            <w:r>
              <w:rPr/>
              <w:t>数据审核</w:t>
            </w:r>
          </w:p>
        </w:tc>
        <w:tc>
          <w:tcPr>
            <w:tcW w:w="5520" w:type="dxa"/>
          </w:tcPr>
          <w:p>
            <w:pPr>
              <w:numPr/>
              <w:pBdr/>
              <w:ind w:left="0"/>
              <w:rPr/>
            </w:pPr>
            <w:r>
              <w:rPr/>
              <w:t>上级单位数据管理员对下级单位上报数据进行审核：</w:t>
            </w:r>
          </w:p>
          <w:p>
            <w:pPr>
              <w:numPr>
                <w:ilvl w:val="0"/>
                <w:numId w:val="6"/>
              </w:numPr>
              <w:pBdr/>
              <w:rPr/>
            </w:pPr>
            <w:r>
              <w:rPr/>
              <w:t>若上报数据不满足上级单位的上报条件，上级数据管理员将数据退回，下级单位进行数据修改并再次进行上报；</w:t>
            </w:r>
          </w:p>
          <w:p>
            <w:pPr>
              <w:numPr>
                <w:ilvl w:val="0"/>
                <w:numId w:val="6"/>
              </w:numPr>
              <w:rPr/>
            </w:pPr>
            <w:r>
              <w:rPr/>
              <w:t>若满足上级单位服务的上报条件，则数据上报结束。</w:t>
            </w:r>
          </w:p>
        </w:tc>
        <w:tc>
          <w:tcPr>
            <w:tcW w:w="3660" w:type="dxa"/>
          </w:tcPr>
          <w:p>
            <w:pPr>
              <w:numPr/>
              <w:pBdr/>
              <w:rPr/>
            </w:pPr>
          </w:p>
          <w:p>
            <w:pPr>
              <w:numPr/>
              <w:pBdr/>
              <w:rPr/>
            </w:pPr>
          </w:p>
          <w:p>
            <w:pPr>
              <w:numPr/>
              <w:pBdr/>
              <w:rPr/>
            </w:pPr>
          </w:p>
          <w:p>
            <w:pPr>
              <w:numPr/>
              <w:rPr/>
            </w:pPr>
          </w:p>
        </w:tc>
      </w:tr>
    </w:tbl>
    <w:p>
      <w:pPr>
        <w:pStyle w:val="gyd6uq"/>
        <w:numPr>
          <w:ilvl w:val="0"/>
          <w:numId w:val="1"/>
        </w:numPr>
        <w:pBdr/>
        <w:rPr/>
      </w:pPr>
      <w:r>
        <w:rPr/>
        <w:t>功能流程图</w:t>
      </w:r>
    </w:p>
    <w:p>
      <w:pPr>
        <w:pStyle w:val="ablt93"/>
        <w:numPr/>
        <w:pBdr>
          <w:bottom/>
        </w:pBdr>
        <w:ind w:left="0"/>
        <w:rPr/>
      </w:pPr>
      <w:r>
        <w:rPr/>
        <w:drawing>
          <wp:inline distT="0" distB="0" distL="0" distR="0">
            <wp:extent cx="9715500" cy="6897010"/>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5"/>
                    <a:srcRect/>
                    <a:stretch/>
                  </pic:blipFill>
                  <pic:spPr>
                    <a:xfrm>
                      <a:off x="0" y="0"/>
                      <a:ext cx="9715500" cy="6897010"/>
                    </a:xfrm>
                    <a:prstGeom prst="rect">
                      <a:avLst/>
                    </a:prstGeom>
                    <a:solidFill/>
                    <a:ln/>
                  </pic:spPr>
                </pic:pic>
              </a:graphicData>
            </a:graphic>
          </wp:inline>
        </w:drawing>
      </w:r>
    </w:p>
    <w:p>
      <w:pPr>
        <w:pStyle w:val="gyd6uq"/>
        <w:numPr>
          <w:ilvl w:val="0"/>
          <w:numId w:val="1"/>
        </w:numPr>
        <w:pBdr>
          <w:bottom/>
        </w:pBdr>
        <w:rPr/>
      </w:pPr>
      <w:r>
        <w:rPr/>
        <w:t>功能清单</w:t>
      </w:r>
    </w:p>
    <w:tbl>
      <w:tblPr>
        <w:tblStyle w:val="vqngml"/>
        <w:tblLayout w:type="fixed"/>
        <w:tblLook/>
      </w:tblPr>
      <w:tblGrid>
        <w:gridCol w:w="581"/>
        <w:gridCol w:w="1792"/>
        <w:gridCol w:w="1892"/>
        <w:gridCol w:w="4542"/>
        <w:gridCol w:w="1447"/>
        <w:gridCol w:w="1732"/>
        <w:gridCol w:w="1393"/>
        <w:gridCol w:w="1767"/>
      </w:tblGrid>
      <w:tr>
        <w:trPr>
          <w:wBefore/>
          <w:trHeight w:val="910"/>
        </w:trPr>
        <w:tc>
          <w:tcPr>
            <w:tcW w:w="581" w:type="dxa"/>
            <w:shd w:val="clear" w:color="auto" w:fill="C7DCFF"/>
          </w:tcPr>
          <w:p>
            <w:pPr>
              <w:numPr/>
              <w:jc w:val="center"/>
              <w:rPr>
                <w:b/>
              </w:rPr>
            </w:pPr>
            <w:r>
              <w:rPr>
                <w:b/>
              </w:rPr>
              <w:t>序号</w:t>
            </w:r>
          </w:p>
        </w:tc>
        <w:tc>
          <w:tcPr>
            <w:tcW w:w="1792" w:type="dxa"/>
            <w:shd w:val="clear" w:color="auto" w:fill="C7DCFF"/>
          </w:tcPr>
          <w:p>
            <w:pPr>
              <w:numPr/>
              <w:jc w:val="center"/>
              <w:rPr>
                <w:b/>
              </w:rPr>
            </w:pPr>
            <w:r>
              <w:rPr>
                <w:b/>
              </w:rPr>
              <w:t>分组</w:t>
            </w:r>
          </w:p>
        </w:tc>
        <w:tc>
          <w:tcPr>
            <w:tcW w:w="1892" w:type="dxa"/>
            <w:shd w:val="clear" w:color="auto" w:fill="C7DCFF"/>
          </w:tcPr>
          <w:p>
            <w:pPr>
              <w:numPr/>
              <w:jc w:val="center"/>
              <w:rPr>
                <w:b/>
              </w:rPr>
            </w:pPr>
            <w:r>
              <w:rPr>
                <w:b/>
              </w:rPr>
              <w:t>功能模块</w:t>
            </w:r>
          </w:p>
        </w:tc>
        <w:tc>
          <w:tcPr>
            <w:tcW w:w="4542" w:type="dxa"/>
            <w:shd w:val="clear" w:color="auto" w:fill="C7DCFF"/>
          </w:tcPr>
          <w:p>
            <w:pPr>
              <w:numPr/>
              <w:jc w:val="center"/>
              <w:rPr>
                <w:b/>
              </w:rPr>
            </w:pPr>
            <w:r>
              <w:rPr>
                <w:b/>
              </w:rPr>
              <w:t>功能描述</w:t>
            </w:r>
          </w:p>
        </w:tc>
        <w:tc>
          <w:tcPr>
            <w:tcW w:w="1447" w:type="dxa"/>
            <w:shd w:val="clear" w:color="auto" w:fill="C7DCFF"/>
          </w:tcPr>
          <w:p>
            <w:pPr>
              <w:numPr/>
              <w:jc w:val="center"/>
              <w:rPr>
                <w:b/>
              </w:rPr>
            </w:pPr>
            <w:r>
              <w:rPr>
                <w:b/>
              </w:rPr>
              <w:t>功能分级</w:t>
            </w:r>
          </w:p>
        </w:tc>
        <w:tc>
          <w:tcPr>
            <w:tcW w:w="1732" w:type="dxa"/>
            <w:shd w:val="clear" w:color="auto" w:fill="C7DCFF"/>
          </w:tcPr>
          <w:p>
            <w:pPr>
              <w:numPr/>
              <w:jc w:val="center"/>
              <w:rPr>
                <w:b/>
              </w:rPr>
            </w:pPr>
            <w:r>
              <w:rPr>
                <w:b/>
              </w:rPr>
              <w:t>实现策略</w:t>
            </w:r>
          </w:p>
        </w:tc>
        <w:tc>
          <w:tcPr>
            <w:tcW w:w="1393" w:type="dxa"/>
            <w:shd w:val="clear" w:color="auto" w:fill="C7DCFF"/>
          </w:tcPr>
          <w:p>
            <w:pPr>
              <w:numPr/>
              <w:jc w:val="center"/>
              <w:rPr>
                <w:b/>
              </w:rPr>
            </w:pPr>
            <w:r>
              <w:rPr>
                <w:b/>
              </w:rPr>
              <w:t>适用对象</w:t>
            </w:r>
          </w:p>
        </w:tc>
        <w:tc>
          <w:tcPr>
            <w:tcW w:w="1767" w:type="dxa"/>
            <w:shd w:val="clear" w:color="auto" w:fill="C7DCFF"/>
          </w:tcPr>
          <w:p>
            <w:pPr>
              <w:numPr/>
              <w:jc w:val="center"/>
              <w:rPr>
                <w:b/>
              </w:rPr>
            </w:pPr>
            <w:r>
              <w:rPr>
                <w:b/>
              </w:rPr>
              <w:t>功能定位</w:t>
            </w:r>
          </w:p>
        </w:tc>
      </w:tr>
      <w:tr>
        <w:trPr>
          <w:wBefore/>
          <w:trHeight w:val="1295"/>
        </w:trPr>
        <w:tc>
          <w:tcPr>
            <w:tcW w:w="581" w:type="dxa"/>
          </w:tcPr>
          <w:p>
            <w:pPr>
              <w:numPr/>
              <w:rPr/>
            </w:pPr>
            <w:r>
              <w:rPr/>
              <w:t>1</w:t>
            </w:r>
          </w:p>
        </w:tc>
        <w:tc>
          <w:tcPr>
            <w:tcW w:w="1792" w:type="dxa"/>
          </w:tcPr>
          <w:p>
            <w:pPr>
              <w:numPr/>
              <w:rPr/>
            </w:pPr>
            <w:r>
              <w:rPr/>
              <w:t>目标服务器配置</w:t>
            </w:r>
          </w:p>
        </w:tc>
        <w:tc>
          <w:tcPr>
            <w:tcW w:w="1892" w:type="dxa"/>
          </w:tcPr>
          <w:p>
            <w:pPr>
              <w:numPr/>
              <w:pBdr>
                <w:bottom/>
              </w:pBdr>
              <w:rPr/>
            </w:pPr>
            <w:r>
              <w:rPr/>
              <w:t>目标服务器管理</w:t>
            </w:r>
          </w:p>
        </w:tc>
        <w:tc>
          <w:tcPr>
            <w:tcW w:w="4542" w:type="dxa"/>
          </w:tcPr>
          <w:p>
            <w:pPr>
              <w:numPr/>
              <w:pBdr>
                <w:bottom/>
              </w:pBdr>
              <w:rPr/>
            </w:pPr>
            <w:r>
              <w:rPr/>
              <w:t>在目标服务器管理中配置同步类型：参数、数据、组织机构跨服务同步所需的目标服务器地址，以及本企业使用的文件格式；并将信息注册到对方服务中。</w:t>
            </w:r>
          </w:p>
        </w:tc>
        <w:tc>
          <w:tcPr>
            <w:tcW w:w="1447" w:type="dxa"/>
          </w:tcPr>
          <w:p>
            <w:pPr>
              <w:numPr/>
              <w:pBdr>
                <w:bottom/>
              </w:pBdr>
              <w:rPr/>
            </w:pPr>
            <w:r>
              <w:rPr/>
              <w:t>BF|业务功能</w:t>
            </w:r>
          </w:p>
        </w:tc>
        <w:tc>
          <w:tcPr>
            <w:tcW w:w="1732" w:type="dxa"/>
          </w:tcPr>
          <w:p>
            <w:pPr>
              <w:numPr/>
              <w:pBdr>
                <w:bottom/>
              </w:pBdr>
              <w:rPr>
                <w:color w:val="000000"/>
              </w:rPr>
            </w:pPr>
            <w:r>
              <w:rPr>
                <w:color w:val="000000"/>
              </w:rPr>
              <w:t>固化开发</w:t>
            </w:r>
          </w:p>
        </w:tc>
        <w:tc>
          <w:tcPr>
            <w:tcW w:w="1393" w:type="dxa"/>
          </w:tcPr>
          <w:p>
            <w:pPr>
              <w:numPr/>
              <w:rPr/>
            </w:pPr>
            <w:r>
              <w:rPr/>
              <w:t>实施/用户</w:t>
            </w:r>
          </w:p>
        </w:tc>
        <w:tc>
          <w:tcPr>
            <w:tcW w:w="1767" w:type="dxa"/>
          </w:tcPr>
          <w:p>
            <w:pPr>
              <w:numPr/>
              <w:rPr/>
            </w:pPr>
            <w:r>
              <w:rPr/>
              <w:t>基础必备功能</w:t>
            </w:r>
          </w:p>
        </w:tc>
      </w:tr>
      <w:tr>
        <w:trPr>
          <w:wBefore/>
          <w:trHeight w:val="1295"/>
        </w:trPr>
        <w:tc>
          <w:tcPr>
            <w:tcW w:w="581" w:type="dxa"/>
            <w:vMerge w:val="restart"/>
          </w:tcPr>
          <w:p>
            <w:pPr>
              <w:numPr/>
              <w:pBdr>
                <w:bottom/>
              </w:pBdr>
              <w:rPr/>
            </w:pPr>
            <w:r>
              <w:rPr/>
              <w:t>2</w:t>
            </w:r>
          </w:p>
        </w:tc>
        <w:tc>
          <w:tcPr>
            <w:tcW w:w="1792" w:type="dxa"/>
            <w:vMerge w:val="restart"/>
          </w:tcPr>
          <w:p>
            <w:pPr>
              <w:numPr/>
              <w:pBdr>
                <w:bottom/>
              </w:pBdr>
              <w:rPr/>
            </w:pPr>
            <w:r>
              <w:rPr/>
              <w:t>参数同步</w:t>
            </w:r>
          </w:p>
        </w:tc>
        <w:tc>
          <w:tcPr>
            <w:tcW w:w="1892" w:type="dxa"/>
          </w:tcPr>
          <w:p>
            <w:pPr>
              <w:numPr/>
              <w:rPr/>
            </w:pPr>
            <w:r>
              <w:rPr/>
              <w:t>参数同步</w:t>
            </w:r>
          </w:p>
        </w:tc>
        <w:tc>
          <w:tcPr>
            <w:tcW w:w="4542" w:type="dxa"/>
          </w:tcPr>
          <w:p>
            <w:pPr>
              <w:numPr/>
              <w:pBdr>
                <w:bottom/>
              </w:pBdr>
              <w:rPr/>
            </w:pPr>
            <w:r>
              <w:rPr/>
              <w:t>用于上级单位创建参数同步方案，并生成参数包同步到下级单位。</w:t>
            </w:r>
          </w:p>
        </w:tc>
        <w:tc>
          <w:tcPr>
            <w:tcW w:w="1447" w:type="dxa"/>
          </w:tcPr>
          <w:p>
            <w:pPr>
              <w:numPr/>
              <w:pBdr>
                <w:bottom/>
              </w:pBdr>
              <w:rPr/>
            </w:pPr>
            <w:r>
              <w:rPr/>
              <w:t>BF|业务功能</w:t>
            </w:r>
          </w:p>
        </w:tc>
        <w:tc>
          <w:tcPr>
            <w:tcW w:w="1732" w:type="dxa"/>
          </w:tcPr>
          <w:p>
            <w:pPr>
              <w:numPr/>
              <w:pBdr>
                <w:bottom/>
              </w:pBdr>
              <w:rPr>
                <w:color w:val="000000"/>
              </w:rPr>
            </w:pPr>
            <w:r>
              <w:rPr>
                <w:color w:val="000000"/>
              </w:rPr>
              <w:t>固化开发</w:t>
            </w:r>
          </w:p>
        </w:tc>
        <w:tc>
          <w:tcPr>
            <w:tcW w:w="1393" w:type="dxa"/>
          </w:tcPr>
          <w:p>
            <w:pPr>
              <w:numPr/>
              <w:pBdr>
                <w:bottom/>
              </w:pBdr>
              <w:rPr/>
            </w:pPr>
            <w:r>
              <w:rPr/>
              <w:t>实施/用户</w:t>
            </w:r>
          </w:p>
        </w:tc>
        <w:tc>
          <w:tcPr>
            <w:tcW w:w="1767" w:type="dxa"/>
          </w:tcPr>
          <w:p>
            <w:pPr>
              <w:numPr/>
              <w:rPr/>
            </w:pPr>
            <w:r>
              <w:rPr/>
              <w:t>基础必备功能</w:t>
            </w:r>
          </w:p>
        </w:tc>
      </w:tr>
      <w:tr>
        <w:trPr>
          <w:wBefore/>
          <w:trHeight w:val="1295"/>
        </w:trPr>
        <w:tc>
          <w:tcPr>
            <w:tcW w:w="581" w:type="dxa"/>
            <w:vMerge w:val="continue"/>
          </w:tcPr>
          <w:p>
            <w:pPr>
              <w:numPr/>
              <w:rPr/>
            </w:pPr>
          </w:p>
        </w:tc>
        <w:tc>
          <w:tcPr>
            <w:tcW w:w="1792" w:type="dxa"/>
            <w:vMerge w:val="continue"/>
          </w:tcPr>
          <w:p>
            <w:pPr>
              <w:numPr/>
              <w:pBdr>
                <w:bottom/>
              </w:pBdr>
              <w:rPr/>
            </w:pPr>
          </w:p>
        </w:tc>
        <w:tc>
          <w:tcPr>
            <w:tcW w:w="1892" w:type="dxa"/>
          </w:tcPr>
          <w:p>
            <w:pPr>
              <w:numPr/>
              <w:pBdr>
                <w:bottom/>
              </w:pBdr>
              <w:rPr/>
            </w:pPr>
            <w:r>
              <w:rPr/>
              <w:t>参数更新管理</w:t>
            </w:r>
          </w:p>
        </w:tc>
        <w:tc>
          <w:tcPr>
            <w:tcW w:w="4542" w:type="dxa"/>
          </w:tcPr>
          <w:p>
            <w:pPr>
              <w:numPr/>
              <w:rPr/>
            </w:pPr>
            <w:r>
              <w:rPr/>
              <w:t>查看上级单位同步的参数包记录、执行参数更新及查看更新日志等。</w:t>
            </w:r>
          </w:p>
        </w:tc>
        <w:tc>
          <w:tcPr>
            <w:tcW w:w="1447" w:type="dxa"/>
          </w:tcPr>
          <w:p>
            <w:pPr>
              <w:numPr/>
              <w:pBdr>
                <w:bottom/>
              </w:pBdr>
              <w:rPr/>
            </w:pPr>
            <w:r>
              <w:rPr/>
              <w:t>BF|业务功能</w:t>
            </w:r>
          </w:p>
        </w:tc>
        <w:tc>
          <w:tcPr>
            <w:tcW w:w="1732" w:type="dxa"/>
          </w:tcPr>
          <w:p>
            <w:pPr>
              <w:numPr/>
              <w:rPr>
                <w:color w:val="000000"/>
              </w:rPr>
            </w:pPr>
            <w:r>
              <w:rPr>
                <w:color w:val="000000"/>
              </w:rPr>
              <w:t>固化开发</w:t>
            </w:r>
          </w:p>
        </w:tc>
        <w:tc>
          <w:tcPr>
            <w:tcW w:w="1393" w:type="dxa"/>
          </w:tcPr>
          <w:p>
            <w:pPr>
              <w:numPr/>
              <w:rPr/>
            </w:pPr>
            <w:r>
              <w:rPr/>
              <w:t>实施/用户</w:t>
            </w:r>
          </w:p>
        </w:tc>
        <w:tc>
          <w:tcPr>
            <w:tcW w:w="1767" w:type="dxa"/>
          </w:tcPr>
          <w:p>
            <w:pPr>
              <w:numPr/>
              <w:rPr/>
            </w:pPr>
            <w:r>
              <w:rPr/>
              <w:t>基础必备功能</w:t>
            </w:r>
          </w:p>
        </w:tc>
      </w:tr>
      <w:tr>
        <w:trPr>
          <w:wBefore/>
          <w:trHeight w:val="1295"/>
        </w:trPr>
        <w:tc>
          <w:tcPr>
            <w:tcW w:w="581" w:type="dxa"/>
            <w:vMerge w:val="restart"/>
          </w:tcPr>
          <w:p>
            <w:pPr>
              <w:numPr/>
              <w:pBdr>
                <w:bottom/>
              </w:pBdr>
              <w:rPr/>
            </w:pPr>
            <w:r>
              <w:rPr/>
              <w:t>3</w:t>
            </w:r>
          </w:p>
        </w:tc>
        <w:tc>
          <w:tcPr>
            <w:tcW w:w="1792" w:type="dxa"/>
            <w:vMerge w:val="restart"/>
          </w:tcPr>
          <w:p>
            <w:pPr>
              <w:numPr/>
              <w:pBdr>
                <w:bottom/>
              </w:pBdr>
              <w:rPr/>
            </w:pPr>
            <w:r>
              <w:rPr/>
              <w:t>数据上报</w:t>
            </w:r>
          </w:p>
        </w:tc>
        <w:tc>
          <w:tcPr>
            <w:tcW w:w="1892" w:type="dxa"/>
          </w:tcPr>
          <w:p>
            <w:pPr>
              <w:numPr/>
              <w:pBdr>
                <w:bottom/>
              </w:pBdr>
              <w:rPr/>
            </w:pPr>
            <w:r>
              <w:rPr/>
              <w:t>数据上传</w:t>
            </w:r>
          </w:p>
        </w:tc>
        <w:tc>
          <w:tcPr>
            <w:tcW w:w="4542" w:type="dxa"/>
          </w:tcPr>
          <w:p>
            <w:pPr>
              <w:numPr>
                <w:ilvl w:val="0"/>
                <w:numId w:val="7"/>
              </w:numPr>
              <w:pBdr/>
              <w:rPr/>
            </w:pPr>
            <w:r>
              <w:rPr/>
              <w:t>下级单位创建数据上传方案，并将数据上报至上级单位。</w:t>
            </w:r>
          </w:p>
          <w:p>
            <w:pPr>
              <w:numPr>
                <w:ilvl w:val="0"/>
                <w:numId w:val="7"/>
              </w:numPr>
              <w:pBdr>
                <w:bottom/>
              </w:pBdr>
              <w:rPr/>
            </w:pPr>
            <w:r>
              <w:rPr/>
              <w:t>生成离线数据包。</w:t>
            </w:r>
          </w:p>
        </w:tc>
        <w:tc>
          <w:tcPr>
            <w:tcW w:w="1447" w:type="dxa"/>
          </w:tcPr>
          <w:p>
            <w:pPr>
              <w:numPr/>
              <w:pBdr>
                <w:bottom/>
              </w:pBdr>
              <w:rPr/>
            </w:pPr>
            <w:r>
              <w:rPr/>
              <w:t>BF|业务功能</w:t>
            </w:r>
          </w:p>
        </w:tc>
        <w:tc>
          <w:tcPr>
            <w:tcW w:w="1732" w:type="dxa"/>
          </w:tcPr>
          <w:p>
            <w:pPr>
              <w:numPr/>
              <w:pBdr>
                <w:bottom/>
              </w:pBdr>
              <w:rPr>
                <w:color w:val="000000"/>
              </w:rPr>
            </w:pPr>
            <w:r>
              <w:rPr>
                <w:color w:val="000000"/>
              </w:rPr>
              <w:t>固化开发</w:t>
            </w:r>
          </w:p>
        </w:tc>
        <w:tc>
          <w:tcPr>
            <w:tcW w:w="1393" w:type="dxa"/>
          </w:tcPr>
          <w:p>
            <w:pPr>
              <w:numPr/>
              <w:pBdr>
                <w:bottom/>
              </w:pBdr>
              <w:rPr/>
            </w:pPr>
            <w:r>
              <w:rPr/>
              <w:t>用户</w:t>
            </w:r>
          </w:p>
        </w:tc>
        <w:tc>
          <w:tcPr>
            <w:tcW w:w="1767" w:type="dxa"/>
          </w:tcPr>
          <w:p>
            <w:pPr>
              <w:numPr/>
              <w:rPr/>
            </w:pPr>
            <w:r>
              <w:rPr/>
              <w:t>基础必备功能</w:t>
            </w:r>
          </w:p>
        </w:tc>
      </w:tr>
      <w:tr>
        <w:trPr>
          <w:wBefore/>
          <w:trHeight w:val="910"/>
        </w:trPr>
        <w:tc>
          <w:tcPr>
            <w:tcW w:w="581" w:type="dxa"/>
            <w:vMerge w:val="continue"/>
          </w:tcPr>
          <w:p>
            <w:pPr>
              <w:numPr/>
              <w:rPr/>
            </w:pPr>
          </w:p>
        </w:tc>
        <w:tc>
          <w:tcPr>
            <w:tcW w:w="1792" w:type="dxa"/>
            <w:vMerge w:val="continue"/>
          </w:tcPr>
          <w:p>
            <w:pPr>
              <w:numPr/>
              <w:pBdr>
                <w:bottom/>
              </w:pBdr>
              <w:rPr/>
            </w:pPr>
          </w:p>
        </w:tc>
        <w:tc>
          <w:tcPr>
            <w:tcW w:w="1892" w:type="dxa"/>
          </w:tcPr>
          <w:p>
            <w:pPr>
              <w:numPr/>
              <w:rPr/>
            </w:pPr>
            <w:r>
              <w:rPr/>
              <w:t>上传数据管理</w:t>
            </w:r>
          </w:p>
        </w:tc>
        <w:tc>
          <w:tcPr>
            <w:tcW w:w="4542" w:type="dxa"/>
          </w:tcPr>
          <w:p>
            <w:pPr>
              <w:numPr>
                <w:ilvl w:val="0"/>
                <w:numId w:val="8"/>
              </w:numPr>
              <w:pBdr/>
              <w:rPr/>
            </w:pPr>
            <w:r>
              <w:rPr/>
              <w:t>上级单位将下级的数据包装入系统及查看装入记录</w:t>
            </w:r>
          </w:p>
          <w:p>
            <w:pPr>
              <w:numPr>
                <w:ilvl w:val="0"/>
                <w:numId w:val="8"/>
              </w:numPr>
              <w:rPr/>
            </w:pPr>
            <w:r>
              <w:rPr/>
              <w:t>装入离线数据包。</w:t>
            </w:r>
          </w:p>
        </w:tc>
        <w:tc>
          <w:tcPr>
            <w:tcW w:w="1447" w:type="dxa"/>
          </w:tcPr>
          <w:p>
            <w:pPr>
              <w:numPr/>
              <w:pBdr>
                <w:bottom/>
              </w:pBdr>
              <w:rPr/>
            </w:pPr>
            <w:r>
              <w:rPr/>
              <w:t>BF|业务功能</w:t>
            </w:r>
          </w:p>
        </w:tc>
        <w:tc>
          <w:tcPr>
            <w:tcW w:w="1732" w:type="dxa"/>
          </w:tcPr>
          <w:p>
            <w:pPr>
              <w:numPr/>
              <w:pBdr>
                <w:bottom/>
              </w:pBdr>
              <w:rPr>
                <w:color w:val="000000"/>
              </w:rPr>
            </w:pPr>
            <w:r>
              <w:rPr>
                <w:color w:val="000000"/>
              </w:rPr>
              <w:t>固化开发</w:t>
            </w:r>
          </w:p>
        </w:tc>
        <w:tc>
          <w:tcPr>
            <w:tcW w:w="1393" w:type="dxa"/>
          </w:tcPr>
          <w:p>
            <w:pPr>
              <w:numPr/>
              <w:rPr/>
            </w:pPr>
            <w:r>
              <w:rPr/>
              <w:t>用户</w:t>
            </w:r>
          </w:p>
        </w:tc>
        <w:tc>
          <w:tcPr>
            <w:tcW w:w="1767" w:type="dxa"/>
          </w:tcPr>
          <w:p>
            <w:pPr>
              <w:numPr/>
              <w:pBdr>
                <w:bottom/>
              </w:pBdr>
              <w:rPr/>
            </w:pPr>
            <w:r>
              <w:rPr/>
              <w:t>基础必备功能</w:t>
            </w:r>
          </w:p>
        </w:tc>
      </w:tr>
      <w:tr>
        <w:trPr>
          <w:wBefore/>
          <w:trHeight w:val="940"/>
        </w:trPr>
        <w:tc>
          <w:tcPr>
            <w:tcW w:w="581" w:type="dxa"/>
            <w:vMerge w:val="restart"/>
          </w:tcPr>
          <w:p>
            <w:pPr>
              <w:numPr/>
              <w:rPr/>
            </w:pPr>
            <w:r>
              <w:rPr/>
              <w:t>4</w:t>
            </w:r>
          </w:p>
        </w:tc>
        <w:tc>
          <w:tcPr>
            <w:tcW w:w="1792" w:type="dxa"/>
            <w:vMerge w:val="restart"/>
          </w:tcPr>
          <w:p>
            <w:pPr>
              <w:numPr/>
              <w:pBdr>
                <w:bottom/>
              </w:pBdr>
              <w:rPr/>
            </w:pPr>
            <w:r>
              <w:rPr/>
              <w:t>组织机构同步</w:t>
            </w:r>
          </w:p>
        </w:tc>
        <w:tc>
          <w:tcPr>
            <w:tcW w:w="1892" w:type="dxa"/>
          </w:tcPr>
          <w:p>
            <w:pPr>
              <w:numPr/>
              <w:rPr/>
            </w:pPr>
            <w:r>
              <w:rPr/>
              <w:t>组织机构同步</w:t>
            </w:r>
          </w:p>
        </w:tc>
        <w:tc>
          <w:tcPr>
            <w:tcW w:w="4542" w:type="dxa"/>
          </w:tcPr>
          <w:p>
            <w:pPr>
              <w:numPr/>
              <w:pBdr>
                <w:bottom/>
              </w:pBdr>
              <w:rPr/>
            </w:pPr>
            <w:r>
              <w:rPr/>
              <w:t>下级单位将组织机构数据同步至上级单位。并可以查看组织机构数据上传状态及上级单位装入状态。</w:t>
            </w:r>
          </w:p>
        </w:tc>
        <w:tc>
          <w:tcPr>
            <w:tcW w:w="1447" w:type="dxa"/>
          </w:tcPr>
          <w:p>
            <w:pPr>
              <w:numPr/>
              <w:pBdr>
                <w:bottom/>
              </w:pBdr>
              <w:rPr/>
            </w:pPr>
            <w:r>
              <w:rPr/>
              <w:t>BF|业务功能</w:t>
            </w:r>
          </w:p>
        </w:tc>
        <w:tc>
          <w:tcPr>
            <w:tcW w:w="1732" w:type="dxa"/>
          </w:tcPr>
          <w:p>
            <w:pPr>
              <w:numPr/>
              <w:pBdr>
                <w:bottom/>
              </w:pBdr>
              <w:rPr>
                <w:color w:val="000000"/>
              </w:rPr>
            </w:pPr>
            <w:r>
              <w:rPr>
                <w:color w:val="000000"/>
              </w:rPr>
              <w:t>固化开发</w:t>
            </w:r>
          </w:p>
        </w:tc>
        <w:tc>
          <w:tcPr>
            <w:tcW w:w="1393" w:type="dxa"/>
          </w:tcPr>
          <w:p>
            <w:pPr>
              <w:numPr/>
              <w:rPr/>
            </w:pPr>
            <w:r>
              <w:rPr/>
              <w:t>用户</w:t>
            </w:r>
          </w:p>
        </w:tc>
        <w:tc>
          <w:tcPr>
            <w:tcW w:w="1767" w:type="dxa"/>
          </w:tcPr>
          <w:p>
            <w:pPr>
              <w:numPr/>
              <w:pBdr>
                <w:bottom/>
              </w:pBdr>
              <w:rPr/>
            </w:pPr>
            <w:r>
              <w:rPr/>
              <w:t>非必需</w:t>
            </w:r>
          </w:p>
        </w:tc>
      </w:tr>
      <w:tr>
        <w:trPr>
          <w:wBefore/>
          <w:trHeight w:val="910"/>
        </w:trPr>
        <w:tc>
          <w:tcPr>
            <w:tcW w:w="581" w:type="dxa"/>
            <w:vMerge w:val="continue"/>
          </w:tcPr>
          <w:p>
            <w:pPr>
              <w:numPr/>
              <w:rPr/>
            </w:pPr>
          </w:p>
        </w:tc>
        <w:tc>
          <w:tcPr>
            <w:tcW w:w="1792" w:type="dxa"/>
            <w:vMerge w:val="continue"/>
          </w:tcPr>
          <w:p>
            <w:pPr>
              <w:numPr/>
              <w:pBdr>
                <w:bottom/>
              </w:pBdr>
              <w:rPr/>
            </w:pPr>
          </w:p>
        </w:tc>
        <w:tc>
          <w:tcPr>
            <w:tcW w:w="1892" w:type="dxa"/>
          </w:tcPr>
          <w:p>
            <w:pPr>
              <w:numPr/>
              <w:rPr/>
            </w:pPr>
            <w:r>
              <w:rPr/>
              <w:t>组织机构变更单</w:t>
            </w:r>
          </w:p>
        </w:tc>
        <w:tc>
          <w:tcPr>
            <w:tcW w:w="4542" w:type="dxa"/>
          </w:tcPr>
          <w:p>
            <w:pPr>
              <w:numPr/>
              <w:pBdr>
                <w:bottom/>
              </w:pBdr>
              <w:rPr/>
            </w:pPr>
            <w:r>
              <w:rPr/>
              <w:t>上级单位审核下级单位上传的组织机构数据。</w:t>
            </w:r>
          </w:p>
        </w:tc>
        <w:tc>
          <w:tcPr>
            <w:tcW w:w="1447" w:type="dxa"/>
          </w:tcPr>
          <w:p>
            <w:pPr>
              <w:numPr/>
              <w:pBdr>
                <w:bottom/>
              </w:pBdr>
              <w:rPr/>
            </w:pPr>
            <w:r>
              <w:rPr/>
              <w:t>BF|业务功能</w:t>
            </w:r>
          </w:p>
        </w:tc>
        <w:tc>
          <w:tcPr>
            <w:tcW w:w="1732" w:type="dxa"/>
          </w:tcPr>
          <w:p>
            <w:pPr>
              <w:numPr/>
              <w:pBdr>
                <w:bottom/>
              </w:pBdr>
              <w:rPr/>
            </w:pPr>
            <w:r>
              <w:rPr/>
              <w:t>二次开发-单据</w:t>
            </w:r>
          </w:p>
        </w:tc>
        <w:tc>
          <w:tcPr>
            <w:tcW w:w="1393" w:type="dxa"/>
          </w:tcPr>
          <w:p>
            <w:pPr>
              <w:numPr/>
              <w:rPr/>
            </w:pPr>
            <w:r>
              <w:rPr/>
              <w:t>用户</w:t>
            </w:r>
          </w:p>
        </w:tc>
        <w:tc>
          <w:tcPr>
            <w:tcW w:w="1767" w:type="dxa"/>
          </w:tcPr>
          <w:p>
            <w:pPr>
              <w:numPr/>
              <w:pBdr>
                <w:bottom/>
              </w:pBdr>
              <w:rPr/>
            </w:pPr>
            <w:r>
              <w:rPr/>
              <w:t>非必需</w:t>
            </w:r>
          </w:p>
        </w:tc>
      </w:tr>
      <w:tr>
        <w:trPr>
          <w:wBefore/>
          <w:trHeight w:val="910"/>
        </w:trPr>
        <w:tc>
          <w:tcPr>
            <w:tcW w:w="581" w:type="dxa"/>
          </w:tcPr>
          <w:p>
            <w:pPr>
              <w:numPr/>
              <w:rPr/>
            </w:pPr>
            <w:r>
              <w:rPr/>
              <w:t>5</w:t>
            </w:r>
          </w:p>
        </w:tc>
        <w:tc>
          <w:tcPr>
            <w:tcW w:w="1792" w:type="dxa"/>
          </w:tcPr>
          <w:p>
            <w:pPr>
              <w:numPr/>
              <w:pBdr>
                <w:bottom/>
              </w:pBdr>
              <w:rPr/>
            </w:pPr>
            <w:r>
              <w:rPr/>
              <w:t>计划任务</w:t>
            </w:r>
          </w:p>
        </w:tc>
        <w:tc>
          <w:tcPr>
            <w:tcW w:w="1892" w:type="dxa"/>
          </w:tcPr>
          <w:p>
            <w:pPr>
              <w:numPr/>
              <w:rPr/>
            </w:pPr>
            <w:r>
              <w:rPr/>
              <w:t>计划任务</w:t>
            </w:r>
          </w:p>
        </w:tc>
        <w:tc>
          <w:tcPr>
            <w:tcW w:w="4542" w:type="dxa"/>
          </w:tcPr>
          <w:p>
            <w:pPr>
              <w:numPr/>
              <w:pBdr>
                <w:bottom/>
              </w:pBdr>
              <w:rPr/>
            </w:pPr>
            <w:r>
              <w:rPr/>
              <w:t>当上级单位和下级单位非直连模式同步时，下级单位上传的数据先推送至中间平台，上级单位通过计划任务从中间平台拉取下级单位数据。</w:t>
            </w:r>
          </w:p>
        </w:tc>
        <w:tc>
          <w:tcPr>
            <w:tcW w:w="1447" w:type="dxa"/>
          </w:tcPr>
          <w:p>
            <w:pPr>
              <w:numPr/>
              <w:pBdr>
                <w:bottom/>
              </w:pBdr>
              <w:rPr>
                <w:color w:val="000000"/>
              </w:rPr>
            </w:pPr>
            <w:r>
              <w:rPr>
                <w:color w:val="000000"/>
              </w:rPr>
              <w:t>OF|运维功能</w:t>
            </w:r>
          </w:p>
        </w:tc>
        <w:tc>
          <w:tcPr>
            <w:tcW w:w="1732" w:type="dxa"/>
          </w:tcPr>
          <w:p>
            <w:pPr>
              <w:numPr/>
              <w:pBdr>
                <w:bottom/>
              </w:pBdr>
              <w:rPr>
                <w:color w:val="FF0000"/>
              </w:rPr>
            </w:pPr>
            <w:r>
              <w:rPr>
                <w:color w:val="000000"/>
              </w:rPr>
              <w:t>固定开发</w:t>
            </w:r>
          </w:p>
        </w:tc>
        <w:tc>
          <w:tcPr>
            <w:tcW w:w="1393" w:type="dxa"/>
          </w:tcPr>
          <w:p>
            <w:pPr>
              <w:numPr/>
              <w:rPr/>
            </w:pPr>
            <w:r>
              <w:rPr/>
              <w:t>实施</w:t>
            </w:r>
          </w:p>
        </w:tc>
        <w:tc>
          <w:tcPr>
            <w:tcW w:w="1767" w:type="dxa"/>
          </w:tcPr>
          <w:p>
            <w:pPr>
              <w:numPr/>
              <w:pBdr>
                <w:bottom/>
              </w:pBdr>
              <w:rPr/>
            </w:pPr>
            <w:r>
              <w:rPr/>
              <w:t>非必需</w:t>
            </w:r>
          </w:p>
        </w:tc>
      </w:tr>
    </w:tbl>
    <w:p>
      <w:pPr>
        <w:pStyle w:val="gyd6uq"/>
        <w:numPr>
          <w:ilvl w:val="0"/>
          <w:numId w:val="1"/>
        </w:numPr>
        <w:pBdr>
          <w:bottom/>
        </w:pBdr>
        <w:rPr/>
      </w:pPr>
      <w:r>
        <w:rPr/>
        <w:t>实施方案</w:t>
      </w:r>
    </w:p>
    <w:tbl>
      <w:tblPr>
        <w:tblStyle w:val="vqngml"/>
        <w:tblLayout w:type="fixed"/>
      </w:tblPr>
      <w:tblGrid>
        <w:gridCol w:w="3225"/>
        <w:gridCol w:w="5025"/>
        <w:gridCol w:w="6675"/>
      </w:tblGrid>
      <w:tr>
        <w:trPr>
          <w:trHeight w:val="660"/>
        </w:trPr>
        <w:tc>
          <w:tcPr>
            <w:tcW w:w="14925" w:type="dxa"/>
            <w:gridSpan w:val="3"/>
            <w:tcBorders>
              <w:top w:val="single" w:color="000000" w:sz="6" w:space="0"/>
              <w:left w:val="single" w:color="000000" w:sz="6" w:space="0"/>
              <w:bottom w:val="single" w:color="000000" w:sz="6" w:space="0"/>
              <w:right w:val="single" w:color="000000" w:sz="6" w:space="0"/>
            </w:tcBorders>
            <w:shd w:val="clear" w:color="auto" w:fill="C7DCFF"/>
            <w:vAlign w:val="center"/>
          </w:tcPr>
          <w:p>
            <w:pPr>
              <w:snapToGrid/>
              <w:spacing w:before="0" w:after="0" w:line="240"/>
              <w:jc w:val="left"/>
              <w:rPr/>
            </w:pPr>
            <w:r>
              <w:rPr>
                <w:rFonts w:ascii="Microsoft YaHei" w:hAnsi="Microsoft YaHei" w:eastAsia="Microsoft YaHei" w:cs="Microsoft YaHei"/>
                <w:b/>
                <w:i w:val="false"/>
                <w:strike w:val="false"/>
                <w:color w:val="000000"/>
                <w:spacing w:val="0"/>
                <w:sz w:val="22"/>
                <w:u w:val="none"/>
                <w:vertAlign w:val="baseline"/>
              </w:rPr>
              <w:t>根据报表参数场景制定实施方案</w:t>
            </w:r>
          </w:p>
        </w:tc>
      </w:tr>
      <w:tr>
        <w:trPr>
          <w:trHeight w:val="615"/>
        </w:trPr>
        <w:tc>
          <w:tcPr>
            <w:tcW w:w="3225" w:type="dxa"/>
            <w:tcBorders>
              <w:top w:val="single" w:color="000000" w:sz="6" w:space="0"/>
              <w:left w:val="single" w:color="000000" w:sz="6" w:space="0"/>
              <w:bottom w:val="single" w:color="000000" w:sz="6" w:space="0"/>
              <w:right w:val="single" w:color="000000" w:sz="6" w:space="0"/>
            </w:tcBorders>
            <w:shd w:val="clear" w:color="auto" w:fill="E5EFFF"/>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实施场景</w:t>
            </w:r>
          </w:p>
        </w:tc>
        <w:tc>
          <w:tcPr>
            <w:tcW w:w="5025" w:type="dxa"/>
            <w:tcBorders>
              <w:top w:val="single" w:color="000000" w:sz="6" w:space="0"/>
              <w:left w:val="single" w:color="000000" w:sz="6" w:space="0"/>
              <w:bottom w:val="single" w:color="000000" w:sz="6" w:space="0"/>
              <w:right w:val="single" w:color="000000" w:sz="6" w:space="0"/>
            </w:tcBorders>
            <w:shd w:val="clear" w:color="auto" w:fill="E5EFFF"/>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实施方案</w:t>
            </w:r>
          </w:p>
        </w:tc>
        <w:tc>
          <w:tcPr>
            <w:tcW w:w="6675" w:type="dxa"/>
            <w:tcBorders>
              <w:top w:val="single" w:color="000000" w:sz="6" w:space="0"/>
              <w:left w:val="single" w:color="000000" w:sz="6" w:space="0"/>
              <w:bottom w:val="single" w:color="000000" w:sz="6" w:space="0"/>
              <w:right w:val="single" w:color="000000" w:sz="6" w:space="0"/>
            </w:tcBorders>
            <w:shd w:val="clear" w:color="auto" w:fill="E5EFFF"/>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实施步骤及注意事项</w:t>
            </w:r>
          </w:p>
        </w:tc>
      </w:tr>
      <w:tr>
        <w:trPr>
          <w:trHeight w:val="1410"/>
        </w:trPr>
        <w:tc>
          <w:tcPr>
            <w:tcW w:w="3225" w:type="dxa"/>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下级单位基于上级单位下发的任务及参数填报数据，不存在个性化参数。</w:t>
            </w:r>
          </w:p>
        </w:tc>
        <w:tc>
          <w:tcPr>
            <w:tcW w:w="5025" w:type="dxa"/>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基于上级单位下发的任务填报</w:t>
            </w:r>
          </w:p>
        </w:tc>
        <w:tc>
          <w:tcPr>
            <w:tcW w:w="6675" w:type="dxa"/>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实施步骤：</w:t>
            </w:r>
          </w:p>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 xml:space="preserve">       在下发任务中进行数据填报。</w:t>
            </w:r>
          </w:p>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注意事项：</w:t>
            </w:r>
          </w:p>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 xml:space="preserve">      无</w:t>
            </w:r>
          </w:p>
        </w:tc>
      </w:tr>
      <w:tr>
        <w:trPr>
          <w:trHeight w:val="2565"/>
        </w:trPr>
        <w:tc>
          <w:tcPr>
            <w:tcW w:w="3225" w:type="dxa"/>
            <w:vMerge w:val="restart"/>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下级单位基于上级单位下发的任务及参数填报数据，存在个性化参数。</w:t>
            </w:r>
          </w:p>
        </w:tc>
        <w:tc>
          <w:tcPr>
            <w:tcW w:w="5025" w:type="dxa"/>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1. 上级单位下发的任务不做任何修改，单独新增一套任务用于内部管理</w:t>
            </w:r>
          </w:p>
        </w:tc>
        <w:tc>
          <w:tcPr>
            <w:tcW w:w="6675" w:type="dxa"/>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实施步骤：</w:t>
            </w:r>
          </w:p>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 xml:space="preserve">       下级单位将下发参数作为上报数据的任务参数。 下级单位再复制一套新的任务，与下发任务共用一套数据方案。在这个新任务中新建报表、常用公式等，作为内部任务填报使用。</w:t>
            </w:r>
          </w:p>
          <w:p>
            <w:pPr>
              <w:snapToGrid/>
              <w:spacing w:before="0" w:after="0" w:line="240"/>
              <w:jc w:val="left"/>
              <w:rPr/>
            </w:pPr>
          </w:p>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注意事项：</w:t>
            </w:r>
          </w:p>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 xml:space="preserve">       不要修改上级单位下发的任务参数，所有的修改操作在复制的新任务中进行。</w:t>
            </w:r>
          </w:p>
        </w:tc>
      </w:tr>
      <w:tr>
        <w:trPr>
          <w:trHeight w:val="2880"/>
        </w:trPr>
        <w:tc>
          <w:tcPr>
            <w:tcW w:w="3225" w:type="dxa"/>
            <w:vMerge w:val="continue"/>
            <w:tcBorders>
              <w:top w:val="single" w:color="000000" w:sz="6" w:space="0"/>
              <w:left w:val="single" w:color="000000" w:sz="6" w:space="0"/>
              <w:bottom w:val="single" w:color="000000" w:sz="6" w:space="0"/>
              <w:right w:val="single" w:color="000000" w:sz="6" w:space="0"/>
            </w:tcBorders>
            <w:vAlign w:val="center"/>
          </w:tcPr>
          <w:p>
            <w:pPr>
              <w:snapToGrid/>
              <w:spacing w:line="240"/>
              <w:rPr/>
            </w:pPr>
          </w:p>
        </w:tc>
        <w:tc>
          <w:tcPr>
            <w:tcW w:w="5025" w:type="dxa"/>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i w:val="false"/>
                <w:strike w:val="false"/>
                <w:color w:val="000000"/>
                <w:spacing w:val="0"/>
                <w:sz w:val="22"/>
                <w:u w:val="none"/>
                <w:vertAlign w:val="baseline"/>
              </w:rPr>
              <w:t>2. 直接基于上级单位下发的任务增加个性化报表，公式等</w:t>
            </w:r>
          </w:p>
        </w:tc>
        <w:tc>
          <w:tcPr>
            <w:tcW w:w="6675" w:type="dxa"/>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实施步骤：</w:t>
            </w:r>
          </w:p>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 xml:space="preserve">        1. 下级单位将下发参数作为本单位的报表任务。</w:t>
            </w:r>
          </w:p>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 xml:space="preserve">        2. 在下发的任务中直接新增内部管理表，维护公式等。</w:t>
            </w:r>
          </w:p>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注意事项：</w:t>
            </w:r>
          </w:p>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 xml:space="preserve">        1.不允许修改上级单位下发的参数，可以增加表或者公式等。</w:t>
            </w:r>
          </w:p>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 xml:space="preserve">        2.新增的内部管理报表，必须是新增的物理存储表（若不单独新增物理存储表，上级单位再次下发参数，会被覆盖），且指标标识不能与上级单位指标标识一致。</w:t>
            </w:r>
          </w:p>
        </w:tc>
      </w:tr>
      <w:tr>
        <w:trPr>
          <w:trHeight w:val="615"/>
        </w:trPr>
        <w:tc>
          <w:tcPr>
            <w:tcW w:w="14925" w:type="dxa"/>
            <w:gridSpan w:val="3"/>
            <w:tcBorders>
              <w:top w:val="single" w:color="000000" w:sz="6" w:space="0"/>
              <w:left w:val="single" w:color="000000" w:sz="6" w:space="0"/>
              <w:bottom w:val="single" w:color="000000" w:sz="6" w:space="0"/>
              <w:right w:val="single" w:color="000000" w:sz="6" w:space="0"/>
            </w:tcBorders>
            <w:shd w:val="clear" w:color="auto" w:fill="C7DCFF"/>
            <w:vAlign w:val="center"/>
          </w:tcPr>
          <w:p>
            <w:pPr>
              <w:snapToGrid/>
              <w:spacing w:before="0" w:after="0" w:line="240"/>
              <w:jc w:val="left"/>
              <w:rPr/>
            </w:pPr>
            <w:r>
              <w:rPr>
                <w:rFonts w:ascii="Microsoft YaHei" w:hAnsi="Microsoft YaHei" w:eastAsia="Microsoft YaHei" w:cs="Microsoft YaHei"/>
                <w:b/>
                <w:i w:val="false"/>
                <w:strike w:val="false"/>
                <w:color w:val="000000"/>
                <w:spacing w:val="0"/>
                <w:sz w:val="22"/>
                <w:u w:val="none"/>
                <w:vertAlign w:val="baseline"/>
              </w:rPr>
              <w:t>根据网络场景制定实施方案</w:t>
            </w:r>
          </w:p>
        </w:tc>
      </w:tr>
      <w:tr>
        <w:trPr>
          <w:trHeight w:val="885"/>
        </w:trPr>
        <w:tc>
          <w:tcPr>
            <w:tcW w:w="3225" w:type="dxa"/>
            <w:tcBorders>
              <w:top w:val="single" w:color="000000" w:sz="6" w:space="0"/>
              <w:left w:val="single" w:color="000000" w:sz="6" w:space="0"/>
              <w:bottom w:val="single" w:color="000000" w:sz="6" w:space="0"/>
              <w:right w:val="single" w:color="000000" w:sz="6" w:space="0"/>
            </w:tcBorders>
            <w:shd w:val="clear" w:color="auto" w:fill="E5EFFF"/>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实施方案</w:t>
            </w:r>
          </w:p>
        </w:tc>
        <w:tc>
          <w:tcPr>
            <w:tcW w:w="5025" w:type="dxa"/>
            <w:tcBorders>
              <w:top w:val="single" w:color="000000" w:sz="6" w:space="0"/>
              <w:left w:val="single" w:color="000000" w:sz="6" w:space="0"/>
              <w:bottom w:val="single" w:color="000000" w:sz="6" w:space="0"/>
              <w:right w:val="single" w:color="000000" w:sz="6" w:space="0"/>
            </w:tcBorders>
            <w:shd w:val="clear" w:color="auto" w:fill="E5EFFF"/>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场景</w:t>
            </w:r>
          </w:p>
        </w:tc>
        <w:tc>
          <w:tcPr>
            <w:tcW w:w="6675" w:type="dxa"/>
            <w:tcBorders>
              <w:top w:val="single" w:color="000000" w:sz="6" w:space="0"/>
              <w:left w:val="single" w:color="000000" w:sz="6" w:space="0"/>
              <w:bottom w:val="single" w:color="000000" w:sz="6" w:space="0"/>
              <w:right w:val="single" w:color="000000" w:sz="6" w:space="0"/>
            </w:tcBorders>
            <w:shd w:val="clear" w:color="auto" w:fill="E5EFFF"/>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场景举例</w:t>
            </w:r>
          </w:p>
        </w:tc>
      </w:tr>
      <w:tr>
        <w:trPr>
          <w:trHeight w:val="885"/>
        </w:trPr>
        <w:tc>
          <w:tcPr>
            <w:tcW w:w="3225" w:type="dxa"/>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i w:val="false"/>
                <w:strike w:val="false"/>
                <w:color w:val="000000"/>
                <w:spacing w:val="0"/>
                <w:sz w:val="22"/>
                <w:u w:val="none"/>
                <w:vertAlign w:val="baseline"/>
              </w:rPr>
              <w:t>直连模式</w:t>
            </w:r>
          </w:p>
        </w:tc>
        <w:tc>
          <w:tcPr>
            <w:tcW w:w="5025" w:type="dxa"/>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上下级单位，网络互通，可直接进行参数和数据的下发和上传</w:t>
            </w:r>
          </w:p>
        </w:tc>
        <w:tc>
          <w:tcPr>
            <w:tcW w:w="6675" w:type="dxa"/>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陕西国资委下发参数至陕西地矿，陕西地矿上传数据至陕西国资委</w:t>
            </w:r>
          </w:p>
        </w:tc>
      </w:tr>
      <w:tr>
        <w:trPr>
          <w:trHeight w:val="885"/>
        </w:trPr>
        <w:tc>
          <w:tcPr>
            <w:tcW w:w="3225" w:type="dxa"/>
            <w:vMerge w:val="restart"/>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中间平台模式</w:t>
            </w:r>
          </w:p>
        </w:tc>
        <w:tc>
          <w:tcPr>
            <w:tcW w:w="5025" w:type="dxa"/>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上级单位与下级单位网络隔离，参数下发和数据上传通过两个中台完成</w:t>
            </w:r>
          </w:p>
        </w:tc>
        <w:tc>
          <w:tcPr>
            <w:tcW w:w="6675" w:type="dxa"/>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广东国资委和广晟均有各自的数据中台。广东国资委下发参数到国资侧数据中台，广晟上传数据到企业侧数据中台。两个数据中台完成数据传输。</w:t>
            </w:r>
          </w:p>
        </w:tc>
      </w:tr>
      <w:tr>
        <w:trPr>
          <w:trHeight w:val="885"/>
        </w:trPr>
        <w:tc>
          <w:tcPr>
            <w:tcW w:w="3225" w:type="dxa"/>
            <w:vMerge w:val="continue"/>
            <w:tcBorders>
              <w:top w:val="single" w:color="000000" w:sz="6" w:space="0"/>
              <w:left w:val="single" w:color="000000" w:sz="6" w:space="0"/>
              <w:bottom w:val="single" w:color="000000" w:sz="6" w:space="0"/>
              <w:right w:val="single" w:color="000000" w:sz="6" w:space="0"/>
            </w:tcBorders>
            <w:vAlign w:val="center"/>
          </w:tcPr>
          <w:p>
            <w:pPr>
              <w:snapToGrid/>
              <w:spacing w:line="240"/>
              <w:rPr/>
            </w:pPr>
          </w:p>
        </w:tc>
        <w:tc>
          <w:tcPr>
            <w:tcW w:w="5025" w:type="dxa"/>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上级单位与下级单位网络隔离，参数下发和数据上传通过一个中台完成</w:t>
            </w:r>
          </w:p>
        </w:tc>
        <w:tc>
          <w:tcPr>
            <w:tcW w:w="6675" w:type="dxa"/>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华电新疆国资端下发参数包和数据包，由一个数据中台将数据转发给企业端。</w:t>
            </w:r>
          </w:p>
        </w:tc>
      </w:tr>
      <w:tr>
        <w:trPr>
          <w:trHeight w:val="885"/>
        </w:trPr>
        <w:tc>
          <w:tcPr>
            <w:tcW w:w="3225" w:type="dxa"/>
            <w:vMerge w:val="continue"/>
            <w:tcBorders>
              <w:top w:val="single" w:color="000000" w:sz="6" w:space="0"/>
              <w:left w:val="single" w:color="000000" w:sz="6" w:space="0"/>
              <w:bottom w:val="single" w:color="000000" w:sz="6" w:space="0"/>
              <w:right w:val="single" w:color="000000" w:sz="6" w:space="0"/>
            </w:tcBorders>
            <w:vAlign w:val="center"/>
          </w:tcPr>
          <w:p>
            <w:pPr>
              <w:snapToGrid/>
              <w:spacing w:line="240"/>
              <w:rPr/>
            </w:pPr>
          </w:p>
        </w:tc>
        <w:tc>
          <w:tcPr>
            <w:tcW w:w="5025" w:type="dxa"/>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上级单位与下级单位网络隔离，参数下发和数据上传通过FTP服务完成</w:t>
            </w:r>
          </w:p>
        </w:tc>
        <w:tc>
          <w:tcPr>
            <w:tcW w:w="6675" w:type="dxa"/>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兵装国资端和企业端有各自的FTP服务，通过第三方做数据交换处理。兵装企业端将数据包上传到FTP服务，在通过第三方数据交换将数据上传到国资端FTP服务。</w:t>
            </w:r>
          </w:p>
        </w:tc>
      </w:tr>
      <w:tr>
        <w:trPr>
          <w:trHeight w:val="885"/>
        </w:trPr>
        <w:tc>
          <w:tcPr>
            <w:tcW w:w="3225" w:type="dxa"/>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离线模式</w:t>
            </w:r>
          </w:p>
        </w:tc>
        <w:tc>
          <w:tcPr>
            <w:tcW w:w="5025" w:type="dxa"/>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网络隔离，下级单位进行参数离线同步；上级单位进行数据离线装入。</w:t>
            </w:r>
          </w:p>
        </w:tc>
        <w:tc>
          <w:tcPr>
            <w:tcW w:w="6675" w:type="dxa"/>
            <w:tcBorders>
              <w:top w:val="single" w:color="000000" w:sz="6" w:space="0"/>
              <w:left w:val="single" w:color="000000" w:sz="6" w:space="0"/>
              <w:bottom w:val="single" w:color="000000" w:sz="6" w:space="0"/>
              <w:right w:val="single" w:color="000000" w:sz="6" w:space="0"/>
            </w:tcBorders>
            <w:vAlign w:val="center"/>
          </w:tcPr>
          <w:p>
            <w:pPr>
              <w:snapToGrid/>
              <w:spacing w:before="0" w:after="0" w:line="240"/>
              <w:rPr/>
            </w:pPr>
          </w:p>
        </w:tc>
      </w:tr>
      <w:tr>
        <w:trPr>
          <w:trHeight w:val="600"/>
        </w:trPr>
        <w:tc>
          <w:tcPr>
            <w:tcW w:w="14925" w:type="dxa"/>
            <w:gridSpan w:val="3"/>
            <w:tcBorders>
              <w:top w:val="single" w:color="000000" w:sz="6" w:space="0"/>
              <w:left w:val="single" w:color="000000" w:sz="6" w:space="0"/>
              <w:bottom w:val="single" w:color="000000" w:sz="6" w:space="0"/>
              <w:right w:val="single" w:color="000000" w:sz="6" w:space="0"/>
            </w:tcBorders>
            <w:shd w:val="clear" w:color="auto" w:fill="C7DCFF"/>
            <w:vAlign w:val="center"/>
          </w:tcPr>
          <w:p>
            <w:pPr>
              <w:snapToGrid/>
              <w:spacing w:before="0" w:after="0" w:line="240"/>
              <w:jc w:val="left"/>
              <w:rPr/>
            </w:pPr>
            <w:r>
              <w:rPr>
                <w:rFonts w:ascii="Microsoft YaHei" w:hAnsi="Microsoft YaHei" w:eastAsia="Microsoft YaHei" w:cs="Microsoft YaHei"/>
                <w:b/>
                <w:i w:val="false"/>
                <w:strike w:val="false"/>
                <w:color w:val="000000"/>
                <w:spacing w:val="0"/>
                <w:sz w:val="22"/>
                <w:u w:val="none"/>
                <w:vertAlign w:val="baseline"/>
              </w:rPr>
              <w:t>根据业务场景制定实施方案</w:t>
            </w:r>
          </w:p>
        </w:tc>
      </w:tr>
      <w:tr>
        <w:trPr>
          <w:trHeight w:val="600"/>
        </w:trPr>
        <w:tc>
          <w:tcPr>
            <w:tcW w:w="3225" w:type="dxa"/>
            <w:tcBorders>
              <w:top w:val="single" w:color="000000" w:sz="6" w:space="0"/>
              <w:left w:val="single" w:color="000000" w:sz="6" w:space="0"/>
              <w:bottom w:val="single" w:color="000000" w:sz="6" w:space="0"/>
              <w:right w:val="single" w:color="000000" w:sz="6" w:space="0"/>
            </w:tcBorders>
            <w:shd w:val="clear" w:color="auto" w:fill="E5EFFF"/>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业务场景</w:t>
            </w:r>
          </w:p>
        </w:tc>
        <w:tc>
          <w:tcPr>
            <w:tcW w:w="5025" w:type="dxa"/>
            <w:tcBorders>
              <w:top w:val="single" w:color="000000" w:sz="6" w:space="0"/>
              <w:left w:val="single" w:color="000000" w:sz="6" w:space="0"/>
              <w:bottom w:val="single" w:color="000000" w:sz="6" w:space="0"/>
              <w:right w:val="single" w:color="000000" w:sz="6" w:space="0"/>
            </w:tcBorders>
            <w:shd w:val="clear" w:color="auto" w:fill="E5EFFF"/>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功能及操作步骤</w:t>
            </w:r>
          </w:p>
        </w:tc>
        <w:tc>
          <w:tcPr>
            <w:tcW w:w="6675" w:type="dxa"/>
            <w:tcBorders>
              <w:top w:val="single" w:color="000000" w:sz="6" w:space="0"/>
              <w:left w:val="single" w:color="000000" w:sz="6" w:space="0"/>
              <w:bottom w:val="single" w:color="000000" w:sz="6" w:space="0"/>
              <w:right w:val="single" w:color="000000" w:sz="6" w:space="0"/>
            </w:tcBorders>
            <w:shd w:val="clear" w:color="auto" w:fill="E5EFFF"/>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场景举例</w:t>
            </w:r>
          </w:p>
        </w:tc>
      </w:tr>
      <w:tr>
        <w:trPr>
          <w:trHeight w:val="600"/>
        </w:trPr>
        <w:tc>
          <w:tcPr>
            <w:tcW w:w="3225" w:type="dxa"/>
            <w:vMerge w:val="restart"/>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i w:val="false"/>
                <w:strike w:val="false"/>
                <w:color w:val="000000"/>
                <w:spacing w:val="0"/>
                <w:sz w:val="22"/>
                <w:u w:val="none"/>
                <w:vertAlign w:val="baseline"/>
              </w:rPr>
              <w:t>上级单位下发参数；下级单位上传数据</w:t>
            </w:r>
          </w:p>
        </w:tc>
        <w:tc>
          <w:tcPr>
            <w:tcW w:w="5025" w:type="dxa"/>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目标服务器管理：下级单位维护目标服务器信息，注册到上级单位</w:t>
            </w:r>
          </w:p>
        </w:tc>
        <w:tc>
          <w:tcPr>
            <w:tcW w:w="6675" w:type="dxa"/>
            <w:vMerge w:val="restart"/>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陕西国资委下发参数至陕西地矿，陕西地矿上传数据至陕西国资委</w:t>
            </w:r>
          </w:p>
        </w:tc>
      </w:tr>
      <w:tr>
        <w:trPr>
          <w:trHeight w:val="600"/>
        </w:trPr>
        <w:tc>
          <w:tcPr>
            <w:tcW w:w="3225" w:type="dxa"/>
            <w:vMerge w:val="continue"/>
            <w:tcBorders>
              <w:top w:val="single" w:color="000000" w:sz="6" w:space="0"/>
              <w:left w:val="single" w:color="000000" w:sz="6" w:space="0"/>
              <w:bottom w:val="single" w:color="000000" w:sz="6" w:space="0"/>
              <w:right w:val="single" w:color="000000" w:sz="6" w:space="0"/>
            </w:tcBorders>
            <w:vAlign w:val="center"/>
          </w:tcPr>
          <w:p>
            <w:pPr>
              <w:snapToGrid/>
              <w:spacing w:line="240"/>
              <w:rPr/>
            </w:pPr>
          </w:p>
        </w:tc>
        <w:tc>
          <w:tcPr>
            <w:tcW w:w="5025" w:type="dxa"/>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参数同步：上级单位制定参数同步方案，同步参数至下级单位</w:t>
            </w:r>
          </w:p>
        </w:tc>
        <w:tc>
          <w:tcPr>
            <w:tcW w:w="6675" w:type="dxa"/>
            <w:vMerge w:val="continue"/>
            <w:tcBorders>
              <w:top w:val="single" w:color="000000" w:sz="6" w:space="0"/>
              <w:left w:val="single" w:color="000000" w:sz="6" w:space="0"/>
              <w:bottom w:val="single" w:color="000000" w:sz="6" w:space="0"/>
              <w:right w:val="single" w:color="000000" w:sz="6" w:space="0"/>
            </w:tcBorders>
            <w:vAlign w:val="center"/>
          </w:tcPr>
          <w:p>
            <w:pPr>
              <w:snapToGrid/>
              <w:spacing w:line="240"/>
              <w:rPr/>
            </w:pPr>
          </w:p>
        </w:tc>
      </w:tr>
      <w:tr>
        <w:trPr>
          <w:trHeight w:val="600"/>
        </w:trPr>
        <w:tc>
          <w:tcPr>
            <w:tcW w:w="3225" w:type="dxa"/>
            <w:vMerge w:val="continue"/>
            <w:tcBorders>
              <w:top w:val="single" w:color="000000" w:sz="6" w:space="0"/>
              <w:left w:val="single" w:color="000000" w:sz="6" w:space="0"/>
              <w:bottom w:val="single" w:color="000000" w:sz="6" w:space="0"/>
              <w:right w:val="single" w:color="000000" w:sz="6" w:space="0"/>
            </w:tcBorders>
            <w:vAlign w:val="center"/>
          </w:tcPr>
          <w:p>
            <w:pPr>
              <w:snapToGrid/>
              <w:spacing w:line="240"/>
              <w:rPr/>
            </w:pPr>
          </w:p>
        </w:tc>
        <w:tc>
          <w:tcPr>
            <w:tcW w:w="5025" w:type="dxa"/>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参数更新管理：下级单位更新参数</w:t>
            </w:r>
          </w:p>
        </w:tc>
        <w:tc>
          <w:tcPr>
            <w:tcW w:w="6675" w:type="dxa"/>
            <w:vMerge w:val="continue"/>
            <w:tcBorders>
              <w:top w:val="single" w:color="000000" w:sz="6" w:space="0"/>
              <w:left w:val="single" w:color="000000" w:sz="6" w:space="0"/>
              <w:bottom w:val="single" w:color="000000" w:sz="6" w:space="0"/>
              <w:right w:val="single" w:color="000000" w:sz="6" w:space="0"/>
            </w:tcBorders>
            <w:vAlign w:val="center"/>
          </w:tcPr>
          <w:p>
            <w:pPr>
              <w:snapToGrid/>
              <w:spacing w:line="240"/>
              <w:rPr/>
            </w:pPr>
          </w:p>
        </w:tc>
      </w:tr>
      <w:tr>
        <w:trPr>
          <w:trHeight w:val="600"/>
        </w:trPr>
        <w:tc>
          <w:tcPr>
            <w:tcW w:w="3225" w:type="dxa"/>
            <w:vMerge w:val="continue"/>
            <w:tcBorders>
              <w:top w:val="single" w:color="000000" w:sz="6" w:space="0"/>
              <w:left w:val="single" w:color="000000" w:sz="6" w:space="0"/>
              <w:bottom w:val="single" w:color="000000" w:sz="6" w:space="0"/>
              <w:right w:val="single" w:color="000000" w:sz="6" w:space="0"/>
            </w:tcBorders>
            <w:vAlign w:val="center"/>
          </w:tcPr>
          <w:p>
            <w:pPr>
              <w:snapToGrid/>
              <w:spacing w:line="240"/>
              <w:rPr/>
            </w:pPr>
          </w:p>
        </w:tc>
        <w:tc>
          <w:tcPr>
            <w:tcW w:w="5025" w:type="dxa"/>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数据上传：下级单位上报数据到上级单位</w:t>
            </w:r>
          </w:p>
        </w:tc>
        <w:tc>
          <w:tcPr>
            <w:tcW w:w="6675" w:type="dxa"/>
            <w:vMerge w:val="continue"/>
            <w:tcBorders>
              <w:top w:val="single" w:color="000000" w:sz="6" w:space="0"/>
              <w:left w:val="single" w:color="000000" w:sz="6" w:space="0"/>
              <w:bottom w:val="single" w:color="000000" w:sz="6" w:space="0"/>
              <w:right w:val="single" w:color="000000" w:sz="6" w:space="0"/>
            </w:tcBorders>
            <w:vAlign w:val="center"/>
          </w:tcPr>
          <w:p>
            <w:pPr>
              <w:snapToGrid/>
              <w:spacing w:line="240"/>
              <w:rPr/>
            </w:pPr>
          </w:p>
        </w:tc>
      </w:tr>
      <w:tr>
        <w:trPr>
          <w:trHeight w:val="600"/>
        </w:trPr>
        <w:tc>
          <w:tcPr>
            <w:tcW w:w="3225" w:type="dxa"/>
            <w:vMerge w:val="continue"/>
            <w:tcBorders>
              <w:top w:val="single" w:color="000000" w:sz="6" w:space="0"/>
              <w:left w:val="single" w:color="000000" w:sz="6" w:space="0"/>
              <w:bottom w:val="single" w:color="000000" w:sz="6" w:space="0"/>
              <w:right w:val="single" w:color="000000" w:sz="6" w:space="0"/>
            </w:tcBorders>
            <w:vAlign w:val="center"/>
          </w:tcPr>
          <w:p>
            <w:pPr>
              <w:snapToGrid/>
              <w:spacing w:line="240"/>
              <w:rPr/>
            </w:pPr>
          </w:p>
        </w:tc>
        <w:tc>
          <w:tcPr>
            <w:tcW w:w="5025" w:type="dxa"/>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上传数据管理：数据自动装入，上级单位审批</w:t>
            </w:r>
          </w:p>
        </w:tc>
        <w:tc>
          <w:tcPr>
            <w:tcW w:w="6675" w:type="dxa"/>
            <w:vMerge w:val="continue"/>
            <w:tcBorders>
              <w:top w:val="single" w:color="000000" w:sz="6" w:space="0"/>
              <w:left w:val="single" w:color="000000" w:sz="6" w:space="0"/>
              <w:bottom w:val="single" w:color="000000" w:sz="6" w:space="0"/>
              <w:right w:val="single" w:color="000000" w:sz="6" w:space="0"/>
            </w:tcBorders>
            <w:vAlign w:val="center"/>
          </w:tcPr>
          <w:p>
            <w:pPr>
              <w:snapToGrid/>
              <w:spacing w:line="240"/>
              <w:rPr/>
            </w:pPr>
          </w:p>
        </w:tc>
      </w:tr>
      <w:tr>
        <w:trPr>
          <w:trHeight w:val="600"/>
        </w:trPr>
        <w:tc>
          <w:tcPr>
            <w:tcW w:w="3225" w:type="dxa"/>
            <w:vMerge w:val="restart"/>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上级单位下发参数及数据</w:t>
            </w:r>
          </w:p>
        </w:tc>
        <w:tc>
          <w:tcPr>
            <w:tcW w:w="5025" w:type="dxa"/>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目标服务器管理：上级单位维护目标服务器信息，注册到下级单位</w:t>
            </w:r>
          </w:p>
        </w:tc>
        <w:tc>
          <w:tcPr>
            <w:tcW w:w="6675" w:type="dxa"/>
            <w:vMerge w:val="restart"/>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华电集团及华电新疆都在集团填报数据，再将数据下发至华电新疆。华电新疆在基于下发数据基础上，补充内部管理报表。</w:t>
            </w:r>
          </w:p>
        </w:tc>
      </w:tr>
      <w:tr>
        <w:trPr>
          <w:trHeight w:val="600"/>
        </w:trPr>
        <w:tc>
          <w:tcPr>
            <w:tcW w:w="3225" w:type="dxa"/>
            <w:vMerge w:val="continue"/>
            <w:tcBorders>
              <w:top w:val="single" w:color="000000" w:sz="6" w:space="0"/>
              <w:left w:val="single" w:color="000000" w:sz="6" w:space="0"/>
              <w:bottom w:val="single" w:color="000000" w:sz="6" w:space="0"/>
              <w:right w:val="single" w:color="000000" w:sz="6" w:space="0"/>
            </w:tcBorders>
            <w:vAlign w:val="center"/>
          </w:tcPr>
          <w:p>
            <w:pPr>
              <w:snapToGrid/>
              <w:spacing w:line="240"/>
              <w:rPr/>
            </w:pPr>
          </w:p>
        </w:tc>
        <w:tc>
          <w:tcPr>
            <w:tcW w:w="5025" w:type="dxa"/>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参数同步：上级单位制定参数同步方案，同步参数至下级单位</w:t>
            </w:r>
          </w:p>
        </w:tc>
        <w:tc>
          <w:tcPr>
            <w:tcW w:w="6675" w:type="dxa"/>
            <w:vMerge w:val="continue"/>
            <w:tcBorders>
              <w:top w:val="single" w:color="000000" w:sz="6" w:space="0"/>
              <w:left w:val="single" w:color="000000" w:sz="6" w:space="0"/>
              <w:bottom w:val="single" w:color="000000" w:sz="6" w:space="0"/>
              <w:right w:val="single" w:color="000000" w:sz="6" w:space="0"/>
            </w:tcBorders>
            <w:vAlign w:val="center"/>
          </w:tcPr>
          <w:p>
            <w:pPr>
              <w:snapToGrid/>
              <w:spacing w:line="240"/>
              <w:rPr/>
            </w:pPr>
          </w:p>
        </w:tc>
      </w:tr>
      <w:tr>
        <w:trPr>
          <w:trHeight w:val="600"/>
        </w:trPr>
        <w:tc>
          <w:tcPr>
            <w:tcW w:w="3225" w:type="dxa"/>
            <w:vMerge w:val="continue"/>
            <w:tcBorders>
              <w:top w:val="single" w:color="000000" w:sz="6" w:space="0"/>
              <w:left w:val="single" w:color="000000" w:sz="6" w:space="0"/>
              <w:bottom w:val="single" w:color="000000" w:sz="6" w:space="0"/>
              <w:right w:val="single" w:color="000000" w:sz="6" w:space="0"/>
            </w:tcBorders>
            <w:vAlign w:val="center"/>
          </w:tcPr>
          <w:p>
            <w:pPr>
              <w:snapToGrid/>
              <w:spacing w:line="240"/>
              <w:rPr/>
            </w:pPr>
          </w:p>
        </w:tc>
        <w:tc>
          <w:tcPr>
            <w:tcW w:w="5025" w:type="dxa"/>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参数更新管理：下级单位更新参数</w:t>
            </w:r>
          </w:p>
        </w:tc>
        <w:tc>
          <w:tcPr>
            <w:tcW w:w="6675" w:type="dxa"/>
            <w:vMerge w:val="continue"/>
            <w:tcBorders>
              <w:top w:val="single" w:color="000000" w:sz="6" w:space="0"/>
              <w:left w:val="single" w:color="000000" w:sz="6" w:space="0"/>
              <w:bottom w:val="single" w:color="000000" w:sz="6" w:space="0"/>
              <w:right w:val="single" w:color="000000" w:sz="6" w:space="0"/>
            </w:tcBorders>
            <w:vAlign w:val="center"/>
          </w:tcPr>
          <w:p>
            <w:pPr>
              <w:snapToGrid/>
              <w:spacing w:line="240"/>
              <w:rPr/>
            </w:pPr>
          </w:p>
        </w:tc>
      </w:tr>
      <w:tr>
        <w:trPr>
          <w:trHeight w:val="600"/>
        </w:trPr>
        <w:tc>
          <w:tcPr>
            <w:tcW w:w="3225" w:type="dxa"/>
            <w:vMerge w:val="continue"/>
            <w:tcBorders>
              <w:top w:val="single" w:color="000000" w:sz="6" w:space="0"/>
              <w:left w:val="single" w:color="000000" w:sz="6" w:space="0"/>
              <w:bottom w:val="single" w:color="000000" w:sz="6" w:space="0"/>
              <w:right w:val="single" w:color="000000" w:sz="6" w:space="0"/>
            </w:tcBorders>
            <w:vAlign w:val="center"/>
          </w:tcPr>
          <w:p>
            <w:pPr>
              <w:snapToGrid/>
              <w:spacing w:line="240"/>
              <w:rPr/>
            </w:pPr>
          </w:p>
        </w:tc>
        <w:tc>
          <w:tcPr>
            <w:tcW w:w="5025" w:type="dxa"/>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数据上传：上级单位同步数据到下级单位</w:t>
            </w:r>
          </w:p>
        </w:tc>
        <w:tc>
          <w:tcPr>
            <w:tcW w:w="6675" w:type="dxa"/>
            <w:vMerge w:val="continue"/>
            <w:tcBorders>
              <w:top w:val="single" w:color="000000" w:sz="6" w:space="0"/>
              <w:left w:val="single" w:color="000000" w:sz="6" w:space="0"/>
              <w:bottom w:val="single" w:color="000000" w:sz="6" w:space="0"/>
              <w:right w:val="single" w:color="000000" w:sz="6" w:space="0"/>
            </w:tcBorders>
            <w:vAlign w:val="center"/>
          </w:tcPr>
          <w:p>
            <w:pPr>
              <w:snapToGrid/>
              <w:spacing w:line="240"/>
              <w:rPr/>
            </w:pPr>
          </w:p>
        </w:tc>
      </w:tr>
      <w:tr>
        <w:trPr>
          <w:trHeight w:val="600"/>
        </w:trPr>
        <w:tc>
          <w:tcPr>
            <w:tcW w:w="3225" w:type="dxa"/>
            <w:vMerge w:val="continue"/>
            <w:tcBorders>
              <w:top w:val="single" w:color="000000" w:sz="6" w:space="0"/>
              <w:left w:val="single" w:color="000000" w:sz="6" w:space="0"/>
              <w:bottom w:val="single" w:color="000000" w:sz="6" w:space="0"/>
              <w:right w:val="single" w:color="000000" w:sz="6" w:space="0"/>
            </w:tcBorders>
            <w:vAlign w:val="center"/>
          </w:tcPr>
          <w:p>
            <w:pPr>
              <w:snapToGrid/>
              <w:spacing w:line="240"/>
              <w:rPr/>
            </w:pPr>
          </w:p>
        </w:tc>
        <w:tc>
          <w:tcPr>
            <w:tcW w:w="5025" w:type="dxa"/>
            <w:tcBorders>
              <w:top w:val="single" w:color="000000" w:sz="6" w:space="0"/>
              <w:left w:val="single" w:color="000000" w:sz="6" w:space="0"/>
              <w:bottom w:val="single" w:color="000000" w:sz="6" w:space="0"/>
              <w:right w:val="single" w:color="000000" w:sz="6" w:space="0"/>
            </w:tcBorders>
            <w:vAlign w:val="center"/>
          </w:tcPr>
          <w:p>
            <w:pPr>
              <w:snapToGrid/>
              <w:spacing w:before="0" w:after="0" w:line="240"/>
              <w:jc w:val="left"/>
              <w:rPr/>
            </w:pPr>
            <w:r>
              <w:rPr>
                <w:rFonts w:ascii="Microsoft YaHei" w:hAnsi="Microsoft YaHei" w:eastAsia="Microsoft YaHei" w:cs="Microsoft YaHei"/>
                <w:b w:val="false"/>
                <w:i w:val="false"/>
                <w:strike w:val="false"/>
                <w:color w:val="000000"/>
                <w:spacing w:val="0"/>
                <w:sz w:val="22"/>
                <w:u w:val="none"/>
                <w:vertAlign w:val="baseline"/>
              </w:rPr>
              <w:t>上传数据管理：下级单位数据自动装入</w:t>
            </w:r>
          </w:p>
        </w:tc>
        <w:tc>
          <w:tcPr>
            <w:tcW w:w="6675" w:type="dxa"/>
            <w:vMerge w:val="continue"/>
            <w:tcBorders>
              <w:top w:val="single" w:color="000000" w:sz="6" w:space="0"/>
              <w:left w:val="single" w:color="000000" w:sz="6" w:space="0"/>
              <w:bottom w:val="single" w:color="000000" w:sz="6" w:space="0"/>
              <w:right w:val="single" w:color="000000" w:sz="6" w:space="0"/>
            </w:tcBorders>
            <w:vAlign w:val="center"/>
          </w:tcPr>
          <w:p>
            <w:pPr>
              <w:snapToGrid/>
              <w:spacing w:line="240"/>
              <w:rPr/>
            </w:pPr>
          </w:p>
        </w:tc>
      </w:tr>
    </w:tbl>
    <w:p>
      <w:pPr>
        <w:pStyle w:val="ablt93"/>
        <w:rPr/>
      </w:pPr>
    </w:p>
    <w:p>
      <w:pPr>
        <w:pStyle w:val="gyd6uq"/>
        <w:numPr>
          <w:ilvl w:val="0"/>
          <w:numId w:val="1"/>
        </w:numPr>
        <w:pBdr/>
        <w:rPr/>
      </w:pPr>
      <w:r>
        <w:rPr/>
        <w:t>企业-国资委</w:t>
      </w:r>
    </w:p>
    <w:p>
      <w:pPr>
        <w:pStyle w:val="rkcc7u"/>
        <w:numPr>
          <w:ilvl w:val="1"/>
          <w:numId w:val="1"/>
        </w:numPr>
        <w:pBdr/>
        <w:rPr/>
      </w:pPr>
      <w:r>
        <w:rPr/>
        <w:t>场景一：企业（女娲平台）与国资委（女娲平台）</w:t>
      </w:r>
    </w:p>
    <w:p>
      <w:pPr>
        <w:pStyle w:val="zesc86"/>
        <w:numPr>
          <w:ilvl w:val="2"/>
          <w:numId w:val="1"/>
        </w:numPr>
        <w:pBdr/>
        <w:rPr/>
      </w:pPr>
      <w:r>
        <w:rPr/>
        <w:t>场景背景</w:t>
      </w:r>
    </w:p>
    <w:p>
      <w:pPr>
        <w:pStyle w:val="ablt93"/>
        <w:pBdr/>
        <w:ind w:left="0" w:firstLineChars="200"/>
        <w:rPr/>
      </w:pPr>
      <w:r>
        <w:rPr/>
        <w:t>隶属于国资委管辖的央企以及部分国有企业，每年需要定期向国资委报送月报、季报、年报等不同报表数据。国资委与下级企业单独部署服务和数据库，且都为久其女娲平台合并报表系统。</w:t>
      </w:r>
    </w:p>
    <w:p>
      <w:pPr>
        <w:pStyle w:val="zesc86"/>
        <w:numPr>
          <w:ilvl w:val="2"/>
          <w:numId w:val="1"/>
        </w:numPr>
        <w:pBdr/>
        <w:rPr/>
      </w:pPr>
      <w:r>
        <w:rPr/>
        <w:t>支持范围</w:t>
      </w:r>
    </w:p>
    <w:p>
      <w:pPr>
        <w:pStyle w:val="ablt93"/>
        <w:pBdr>
          <w:bottom/>
        </w:pBdr>
        <w:rPr/>
      </w:pPr>
      <w:r>
        <w:rPr/>
        <w:t>报表任务参数的在线及离线同步、报表数据的在线同步；</w:t>
      </w:r>
    </w:p>
    <w:p>
      <w:pPr>
        <w:pStyle w:val="zesc86"/>
        <w:numPr>
          <w:ilvl w:val="2"/>
          <w:numId w:val="1"/>
        </w:numPr>
        <w:pBdr/>
        <w:rPr/>
      </w:pPr>
      <w:r>
        <w:rPr/>
        <w:t>使用前置条件</w:t>
      </w:r>
    </w:p>
    <w:p>
      <w:pPr>
        <w:pStyle w:val="ablt93"/>
        <w:pBdr/>
        <w:rPr/>
      </w:pPr>
      <w:r>
        <w:rPr/>
        <w:t>1）企业端与国资委端都使用女娲平台的合并报表标准版或者合并报表专业版程序；</w:t>
      </w:r>
    </w:p>
    <w:p>
      <w:pPr>
        <w:pStyle w:val="ablt93"/>
        <w:pBdr/>
        <w:rPr/>
      </w:pPr>
      <w:r>
        <w:rPr/>
        <w:t>2）用于数据上传国资的任务参数需由国资委通过二级部署模块功能统一下发，不能由企业各自创建；</w:t>
      </w:r>
    </w:p>
    <w:p>
      <w:pPr>
        <w:pStyle w:val="ablt93"/>
        <w:pBdr/>
        <w:rPr/>
      </w:pPr>
      <w:r>
        <w:rPr/>
        <w:t>3）企业端与国资委同一任务使用同一组织机构类型；</w:t>
      </w:r>
    </w:p>
    <w:p>
      <w:pPr>
        <w:pStyle w:val="ablt93"/>
        <w:pBdr/>
        <w:rPr/>
      </w:pPr>
      <w:r>
        <w:rPr/>
        <w:t>4）企业端单位数据需由企业各自创建，无法通过国资委统一下发，国资端单位数据可由企业同步至国资委；</w:t>
      </w:r>
    </w:p>
    <w:p>
      <w:pPr>
        <w:pStyle w:val="ablt93"/>
        <w:pBdr>
          <w:bottom/>
        </w:pBdr>
        <w:rPr/>
      </w:pPr>
      <w:r>
        <w:rPr/>
        <w:t>5）企业可在国资委下发的参数基础上新增私有参数，比如公式、报表或者单位，但不可修改国资委下发的参数；</w:t>
      </w:r>
    </w:p>
    <w:p>
      <w:pPr>
        <w:pStyle w:val="ablt93"/>
        <w:rPr/>
      </w:pPr>
      <w:r>
        <w:rPr/>
        <w:t>6）若存在企业与国资委单位代码不一致的情况，需要企业维护单位映射，数据上传时按照企业维护的单位映射进行转换；</w:t>
      </w:r>
    </w:p>
    <w:p>
      <w:pPr>
        <w:pStyle w:val="zesc86"/>
        <w:numPr>
          <w:ilvl w:val="2"/>
          <w:numId w:val="1"/>
        </w:numPr>
        <w:pBdr/>
        <w:rPr/>
      </w:pPr>
      <w:r>
        <w:rPr/>
        <w:t>实施方案</w:t>
      </w:r>
    </w:p>
    <w:p>
      <w:pPr>
        <w:pStyle w:val="ablt93"/>
        <w:pBdr/>
        <w:ind w:left="0"/>
        <w:rPr>
          <w:b/>
        </w:rPr>
      </w:pPr>
      <w:r>
        <w:rPr>
          <w:b/>
        </w:rPr>
        <w:t>创建连接：</w:t>
      </w:r>
    </w:p>
    <w:p>
      <w:pPr>
        <w:pStyle w:val="ablt93"/>
        <w:numPr>
          <w:ilvl w:val="0"/>
          <w:numId w:val="9"/>
        </w:numPr>
        <w:pBdr/>
        <w:ind/>
        <w:rPr/>
      </w:pPr>
      <w:r>
        <w:rPr/>
        <w:t>网络联通的情况下，由企业端注册国资委和企业的服务信息，并将企业信息同步至国资委，国资委无需维护，只需设置是否启用；</w:t>
      </w:r>
    </w:p>
    <w:p>
      <w:pPr>
        <w:pStyle w:val="ablt93"/>
        <w:numPr>
          <w:ilvl w:val="0"/>
          <w:numId w:val="9"/>
        </w:numPr>
        <w:pBdr/>
        <w:ind/>
        <w:rPr/>
      </w:pPr>
      <w:r>
        <w:rPr/>
        <w:t>网络不通的情况下，企业端和国资委端分别维护信息，用于数据上传时获取上报状态更新单位的信息；</w:t>
      </w:r>
    </w:p>
    <w:p>
      <w:pPr>
        <w:pStyle w:val="ablt93"/>
        <w:pBdr>
          <w:bottom/>
        </w:pBdr>
        <w:ind w:left="0"/>
        <w:rPr/>
      </w:pPr>
      <w:r>
        <w:rPr>
          <w:b/>
        </w:rPr>
        <w:t>参数：</w:t>
      </w:r>
    </w:p>
    <w:p>
      <w:pPr>
        <w:pStyle w:val="ablt93"/>
        <w:numPr>
          <w:ilvl w:val="0"/>
          <w:numId w:val="10"/>
        </w:numPr>
        <w:pBdr/>
        <w:ind/>
        <w:rPr/>
      </w:pPr>
      <w:r>
        <w:rPr/>
        <w:t>国资委自定义报表参数，可通过单机版制作参数后导入，也可在女娲平台创建新任务制作参数；为保证企业端上报国资的组织机构类型与企业自有管理报表任务使用的机构类型不冲突，国资委在新建组织机构类型时避免使用法人口径和管理口径。</w:t>
      </w:r>
    </w:p>
    <w:p>
      <w:pPr>
        <w:pStyle w:val="ablt93"/>
        <w:numPr>
          <w:ilvl w:val="0"/>
          <w:numId w:val="10"/>
        </w:numPr>
        <w:pBdr>
          <w:bottom/>
        </w:pBdr>
        <w:ind/>
        <w:rPr/>
      </w:pPr>
      <w:r>
        <w:rPr/>
        <w:t>企业端用于上报国资的任务由国资委进行参数下发。企业端可在国资委下发的任务基础上新增报表方案或者在原有报表方案中新增报表，用于填写企业个性化的填报需求。</w:t>
      </w:r>
    </w:p>
    <w:p>
      <w:pPr>
        <w:pStyle w:val="ablt93"/>
        <w:numPr>
          <w:ilvl w:val="0"/>
          <w:numId w:val="10"/>
        </w:numPr>
        <w:pBdr/>
        <w:ind/>
        <w:rPr/>
      </w:pPr>
      <w:r>
        <w:rPr/>
        <w:t>组织机构数据可由国资委和企业各自手工创建，也可由企业端创建维护，同步至国资侧，只需保证代码一致或者代码不一致维护单位映射。企业在该机构类型下手工维护需要上报给国资委的单位范围。双方企业代码可不一致，数据上传时通过单位映射进行转换。</w:t>
      </w:r>
    </w:p>
    <w:p>
      <w:pPr>
        <w:pStyle w:val="ablt93"/>
        <w:pBdr/>
        <w:ind w:left="0"/>
        <w:rPr>
          <w:b/>
        </w:rPr>
      </w:pPr>
      <w:r>
        <w:rPr>
          <w:b/>
        </w:rPr>
        <w:t>数据：</w:t>
      </w:r>
    </w:p>
    <w:p>
      <w:pPr>
        <w:pStyle w:val="ablt93"/>
        <w:numPr>
          <w:ilvl w:val="0"/>
          <w:numId w:val="11"/>
        </w:numPr>
        <w:pBdr/>
        <w:ind/>
        <w:rPr/>
      </w:pPr>
      <w:r>
        <w:rPr/>
        <w:t>在数据上传模块勾选任务列表分组即可；</w:t>
      </w:r>
    </w:p>
    <w:p>
      <w:pPr>
        <w:pStyle w:val="ablt93"/>
        <w:numPr>
          <w:ilvl w:val="0"/>
          <w:numId w:val="11"/>
        </w:numPr>
        <w:pBdr/>
        <w:ind/>
        <w:rPr/>
      </w:pPr>
      <w:r>
        <w:rPr/>
        <w:t>国资委下发下来的任务，企业可选择单位选择报表上传至国资委，并选择是否同步更新国资委侧的单位状态；</w:t>
      </w:r>
    </w:p>
    <w:p>
      <w:pPr>
        <w:pStyle w:val="ablt93"/>
        <w:numPr>
          <w:ilvl w:val="0"/>
          <w:numId w:val="11"/>
        </w:numPr>
        <w:pBdr/>
        <w:ind/>
        <w:rPr/>
      </w:pPr>
      <w:r>
        <w:rPr/>
        <w:t>数据上传时需校验国资委与企业的版本号一致，若不一致，上传失败。对于同一任务，国资委最后一次生成的参数包在企业端完成更新并发布视为版本号一致。</w:t>
      </w:r>
    </w:p>
    <w:p>
      <w:pPr>
        <w:pStyle w:val="ablt93"/>
        <w:numPr>
          <w:ilvl w:val="0"/>
          <w:numId w:val="11"/>
        </w:numPr>
        <w:pBdr/>
        <w:ind/>
        <w:rPr/>
      </w:pPr>
      <w:r>
        <w:rPr/>
        <w:t>数据上传时，该企业单位在国资委需为未上报或者已退回状态；</w:t>
      </w:r>
    </w:p>
    <w:p>
      <w:pPr>
        <w:pStyle w:val="ablt93"/>
        <w:numPr>
          <w:ilvl w:val="0"/>
          <w:numId w:val="11"/>
        </w:numPr>
        <w:pBdr/>
        <w:ind/>
        <w:rPr>
          <w:color w:val="FF0000"/>
        </w:rPr>
      </w:pPr>
      <w:r>
        <w:rPr/>
        <w:t>上报状态标记：数据上传时会将设置的某个特定单位状态在国资委更新为已上报，不会更新所有单位，企业的单位状态不做任何变化；</w:t>
      </w:r>
      <w:r>
        <w:rPr>
          <w:color w:val="FF0000"/>
        </w:rPr>
        <w:t>（后续可能会更改为更新所有上报单位的状态）</w:t>
      </w:r>
    </w:p>
    <w:p>
      <w:pPr>
        <w:pStyle w:val="ablt93"/>
        <w:numPr>
          <w:ilvl w:val="0"/>
          <w:numId w:val="11"/>
        </w:numPr>
        <w:pBdr/>
        <w:ind/>
        <w:rPr/>
      </w:pPr>
      <w:r>
        <w:rPr/>
        <w:t>若某个二级集团存在审核错误数据需要数据退回时，数据退回时以在同一服务中的整个二级集团为整体进行退回，不可针对某个企业的三级或者更下级单位进行单独的退回，二级集团收到退回消息后再针对退回说明中内容进行单独的退回。即国资委在国资委服务中，只有设置的特定单位可以做跨服务数据退回；</w:t>
      </w:r>
    </w:p>
    <w:p>
      <w:pPr>
        <w:pStyle w:val="zesc86"/>
        <w:numPr>
          <w:ilvl w:val="2"/>
          <w:numId w:val="1"/>
        </w:numPr>
        <w:pBdr/>
        <w:rPr/>
      </w:pPr>
      <w:r>
        <w:rPr/>
        <w:t>特殊场景实施方案</w:t>
      </w:r>
    </w:p>
    <w:p>
      <w:pPr>
        <w:pStyle w:val="ablt93"/>
        <w:pBdr/>
        <w:ind w:left="0"/>
        <w:rPr/>
      </w:pPr>
      <w:r>
        <w:rPr>
          <w:b/>
        </w:rPr>
        <w:t>场景：</w:t>
      </w:r>
      <w:r>
        <w:rPr/>
        <w:t>国资委和企业都是单独手工新建参数，且保证指标标识与任务标识以及公式标识都一样，在此基础上实现参数下发更新和数据上传；</w:t>
      </w:r>
    </w:p>
    <w:p>
      <w:pPr>
        <w:pStyle w:val="ablt93"/>
        <w:pBdr/>
        <w:ind w:left="0"/>
        <w:rPr/>
      </w:pPr>
      <w:r>
        <w:rPr>
          <w:b/>
        </w:rPr>
        <w:t>实施方案：</w:t>
      </w:r>
      <w:r>
        <w:rPr>
          <w:b w:val="false"/>
        </w:rPr>
        <w:t>针对参数，若非国资委同步下来的参数，无法再通过参数同步更新，只能企业手工调整；针对数据，</w:t>
      </w:r>
      <w:r>
        <w:rPr/>
        <w:t>在线上传不支持，可采用jio导入导出方式离线上报；</w:t>
      </w:r>
    </w:p>
    <w:p>
      <w:pPr>
        <w:pStyle w:val="ablt93"/>
        <w:numPr/>
        <w:pBdr/>
        <w:ind w:left="0"/>
        <w:rPr/>
      </w:pPr>
      <w:r>
        <w:rPr>
          <w:b/>
        </w:rPr>
        <w:t>场景：</w:t>
      </w:r>
      <w:r>
        <w:rPr/>
        <w:t>国资委和企业都是单独手工新建参数，且指标标识与任务标识以及公式标识都存在差异，在此基础上实现数据上传；</w:t>
      </w:r>
    </w:p>
    <w:p>
      <w:pPr>
        <w:pStyle w:val="ablt93"/>
        <w:pBdr/>
        <w:ind w:left="0"/>
        <w:rPr/>
      </w:pPr>
      <w:r>
        <w:rPr>
          <w:b/>
        </w:rPr>
        <w:t>实施方案：</w:t>
      </w:r>
      <w:r>
        <w:rPr/>
        <w:t>在线上传不支持，可采用jio导入导出方式离线上报；</w:t>
      </w:r>
    </w:p>
    <w:p>
      <w:pPr>
        <w:pStyle w:val="zesc86"/>
        <w:numPr>
          <w:ilvl w:val="2"/>
          <w:numId w:val="1"/>
        </w:numPr>
        <w:pBdr/>
        <w:rPr/>
      </w:pPr>
      <w:r>
        <w:rPr/>
        <w:t>业务流程图</w:t>
      </w:r>
    </w:p>
    <w:p>
      <w:pPr>
        <w:pStyle w:val="ablt93"/>
        <w:ind w:left="0"/>
        <w:rPr/>
      </w:pPr>
      <w:r>
        <w:rPr/>
        <w:drawing>
          <wp:inline distT="0" distB="0" distL="0" distR="0">
            <wp:extent cx="5760085" cy="3240048"/>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6"/>
                    <a:stretch/>
                  </pic:blipFill>
                  <pic:spPr>
                    <a:xfrm>
                      <a:off x="0" y="0"/>
                      <a:ext cx="5760085" cy="3240048"/>
                    </a:xfrm>
                    <a:prstGeom prst="rect">
                      <a:avLst/>
                    </a:prstGeom>
                  </pic:spPr>
                </pic:pic>
              </a:graphicData>
            </a:graphic>
          </wp:inline>
        </w:drawing>
      </w:r>
    </w:p>
    <w:p>
      <w:pPr>
        <w:pStyle w:val="zesc86"/>
        <w:numPr>
          <w:ilvl w:val="2"/>
          <w:numId w:val="1"/>
        </w:numPr>
        <w:pBdr/>
        <w:rPr/>
      </w:pPr>
      <w:r>
        <w:rPr/>
        <w:t>使用功能列表</w:t>
      </w:r>
    </w:p>
    <w:tbl>
      <w:tblPr>
        <w:tblStyle w:val="vqngml"/>
        <w:tblLayout w:type="fixed"/>
      </w:tblPr>
      <w:tblGrid>
        <w:gridCol w:w="690"/>
        <w:gridCol w:w="2385"/>
        <w:gridCol w:w="5970"/>
      </w:tblGrid>
      <w:tr>
        <w:trPr/>
        <w:tc>
          <w:tcPr>
            <w:tcW w:w="690" w:type="dxa"/>
            <w:shd w:val="clear" w:color="auto" w:fill="FFEEAD"/>
          </w:tcPr>
          <w:p>
            <w:pPr>
              <w:rPr>
                <w:b/>
              </w:rPr>
            </w:pPr>
            <w:r>
              <w:rPr>
                <w:b/>
              </w:rPr>
              <w:t>序号</w:t>
            </w:r>
          </w:p>
        </w:tc>
        <w:tc>
          <w:tcPr>
            <w:tcW w:w="2385" w:type="dxa"/>
            <w:shd w:val="clear" w:color="auto" w:fill="FFEEAD"/>
          </w:tcPr>
          <w:p>
            <w:pPr>
              <w:rPr>
                <w:b/>
              </w:rPr>
            </w:pPr>
            <w:r>
              <w:rPr>
                <w:b/>
              </w:rPr>
              <w:t>功能名称</w:t>
            </w:r>
          </w:p>
        </w:tc>
        <w:tc>
          <w:tcPr>
            <w:tcW w:w="5970" w:type="dxa"/>
            <w:shd w:val="clear" w:color="auto" w:fill="FFEEAD"/>
          </w:tcPr>
          <w:p>
            <w:pPr>
              <w:rPr>
                <w:b/>
              </w:rPr>
            </w:pPr>
            <w:r>
              <w:rPr>
                <w:b/>
              </w:rPr>
              <w:t>支持功能</w:t>
            </w:r>
          </w:p>
        </w:tc>
      </w:tr>
      <w:tr>
        <w:trPr>
          <w:trHeight/>
        </w:trPr>
        <w:tc>
          <w:tcPr>
            <w:tcW w:w="9045" w:type="dxa"/>
            <w:gridSpan w:val="3"/>
          </w:tcPr>
          <w:p>
            <w:pPr>
              <w:rPr/>
            </w:pPr>
            <w:r>
              <w:rPr/>
              <w:t>国资委使用：</w:t>
            </w:r>
          </w:p>
        </w:tc>
      </w:tr>
      <w:tr>
        <w:trPr/>
        <w:tc>
          <w:tcPr>
            <w:tcW w:w="690" w:type="dxa"/>
          </w:tcPr>
          <w:p>
            <w:pPr>
              <w:rPr/>
            </w:pPr>
            <w:r>
              <w:rPr/>
              <w:t>1</w:t>
            </w:r>
          </w:p>
        </w:tc>
        <w:tc>
          <w:tcPr>
            <w:tcW w:w="2385" w:type="dxa"/>
          </w:tcPr>
          <w:p>
            <w:pPr>
              <w:rPr/>
            </w:pPr>
            <w:r>
              <w:rPr/>
              <w:t>目标服务器管理</w:t>
            </w:r>
          </w:p>
        </w:tc>
        <w:tc>
          <w:tcPr>
            <w:tcW w:w="5970" w:type="dxa"/>
          </w:tcPr>
          <w:p>
            <w:pPr>
              <w:rPr/>
            </w:pPr>
            <w:r>
              <w:rPr/>
              <w:t>接收企业注册连接信息、创建连接、启用停用企业连接</w:t>
            </w:r>
          </w:p>
        </w:tc>
      </w:tr>
      <w:tr>
        <w:trPr/>
        <w:tc>
          <w:tcPr>
            <w:tcW w:w="690" w:type="dxa"/>
          </w:tcPr>
          <w:p>
            <w:pPr>
              <w:rPr/>
            </w:pPr>
            <w:r>
              <w:rPr/>
              <w:t>2</w:t>
            </w:r>
          </w:p>
        </w:tc>
        <w:tc>
          <w:tcPr>
            <w:tcW w:w="2385" w:type="dxa"/>
          </w:tcPr>
          <w:p>
            <w:pPr>
              <w:rPr/>
            </w:pPr>
            <w:r>
              <w:rPr/>
              <w:t>参数同步</w:t>
            </w:r>
          </w:p>
        </w:tc>
        <w:tc>
          <w:tcPr>
            <w:tcW w:w="5970" w:type="dxa"/>
          </w:tcPr>
          <w:p>
            <w:pPr>
              <w:rPr/>
            </w:pPr>
            <w:r>
              <w:rPr/>
              <w:t>生成任务参数、在线同步参数、导出离线参数包</w:t>
            </w:r>
          </w:p>
        </w:tc>
      </w:tr>
      <w:tr>
        <w:trPr/>
        <w:tc>
          <w:tcPr>
            <w:tcW w:w="690" w:type="dxa"/>
          </w:tcPr>
          <w:p>
            <w:pPr>
              <w:rPr/>
            </w:pPr>
            <w:r>
              <w:rPr/>
              <w:t>3</w:t>
            </w:r>
          </w:p>
        </w:tc>
        <w:tc>
          <w:tcPr>
            <w:tcW w:w="2385" w:type="dxa"/>
          </w:tcPr>
          <w:p>
            <w:pPr>
              <w:rPr/>
            </w:pPr>
            <w:r>
              <w:rPr/>
              <w:t>上传数据管理</w:t>
            </w:r>
          </w:p>
        </w:tc>
        <w:tc>
          <w:tcPr>
            <w:tcW w:w="5970" w:type="dxa"/>
          </w:tcPr>
          <w:p>
            <w:pPr>
              <w:rPr/>
            </w:pPr>
            <w:r>
              <w:rPr/>
              <w:t>接收企业上传数据、数据装载、离线数据包导入</w:t>
            </w:r>
          </w:p>
        </w:tc>
      </w:tr>
      <w:tr>
        <w:trPr/>
        <w:tc>
          <w:tcPr>
            <w:tcW w:w="690" w:type="dxa"/>
          </w:tcPr>
          <w:p>
            <w:pPr>
              <w:rPr/>
            </w:pPr>
            <w:r>
              <w:rPr/>
              <w:t>4</w:t>
            </w:r>
          </w:p>
        </w:tc>
        <w:tc>
          <w:tcPr>
            <w:tcW w:w="2385" w:type="dxa"/>
          </w:tcPr>
          <w:p>
            <w:pPr>
              <w:rPr/>
            </w:pPr>
            <w:r>
              <w:rPr/>
              <w:t>数据录入</w:t>
            </w:r>
          </w:p>
        </w:tc>
        <w:tc>
          <w:tcPr>
            <w:tcW w:w="5970" w:type="dxa"/>
          </w:tcPr>
          <w:p>
            <w:pPr>
              <w:rPr/>
            </w:pPr>
            <w:r>
              <w:rPr/>
              <w:t>企业上传数据查看、数据同步退回</w:t>
            </w:r>
          </w:p>
        </w:tc>
      </w:tr>
      <w:tr>
        <w:trPr>
          <w:trHeight/>
        </w:trPr>
        <w:tc>
          <w:tcPr>
            <w:tcW w:w="9045" w:type="dxa"/>
            <w:gridSpan w:val="3"/>
          </w:tcPr>
          <w:p>
            <w:pPr>
              <w:rPr/>
            </w:pPr>
            <w:r>
              <w:rPr/>
              <w:t>企业端使用：</w:t>
            </w:r>
          </w:p>
        </w:tc>
      </w:tr>
      <w:tr>
        <w:trPr>
          <w:trHeight/>
        </w:trPr>
        <w:tc>
          <w:tcPr>
            <w:tcW w:w="690" w:type="dxa"/>
          </w:tcPr>
          <w:p>
            <w:pPr>
              <w:rPr/>
            </w:pPr>
            <w:r>
              <w:rPr/>
              <w:t>1</w:t>
            </w:r>
          </w:p>
        </w:tc>
        <w:tc>
          <w:tcPr>
            <w:tcW w:w="2385" w:type="dxa"/>
          </w:tcPr>
          <w:p>
            <w:pPr>
              <w:rPr/>
            </w:pPr>
            <w:r>
              <w:rPr/>
              <w:t>目标服务器设置</w:t>
            </w:r>
          </w:p>
        </w:tc>
        <w:tc>
          <w:tcPr>
            <w:tcW w:w="5970" w:type="dxa"/>
          </w:tcPr>
          <w:p>
            <w:pPr>
              <w:rPr/>
            </w:pPr>
            <w:r>
              <w:rPr/>
              <w:t>注册连接信息，同步至国资委</w:t>
            </w:r>
          </w:p>
        </w:tc>
      </w:tr>
      <w:tr>
        <w:trPr>
          <w:trHeight/>
        </w:trPr>
        <w:tc>
          <w:tcPr>
            <w:tcW w:w="690" w:type="dxa"/>
          </w:tcPr>
          <w:p>
            <w:pPr>
              <w:rPr/>
            </w:pPr>
            <w:r>
              <w:rPr/>
              <w:t>2</w:t>
            </w:r>
          </w:p>
        </w:tc>
        <w:tc>
          <w:tcPr>
            <w:tcW w:w="2385" w:type="dxa"/>
          </w:tcPr>
          <w:p>
            <w:pPr>
              <w:rPr/>
            </w:pPr>
            <w:r>
              <w:rPr/>
              <w:t>参数更新管理</w:t>
            </w:r>
          </w:p>
        </w:tc>
        <w:tc>
          <w:tcPr>
            <w:tcW w:w="5970" w:type="dxa"/>
          </w:tcPr>
          <w:p>
            <w:pPr>
              <w:rPr/>
            </w:pPr>
            <w:r>
              <w:rPr/>
              <w:t>接收国资委下发参数、更新参数、离线参数包导入</w:t>
            </w:r>
          </w:p>
        </w:tc>
      </w:tr>
      <w:tr>
        <w:trPr>
          <w:trHeight/>
        </w:trPr>
        <w:tc>
          <w:tcPr>
            <w:tcW w:w="690" w:type="dxa"/>
          </w:tcPr>
          <w:p>
            <w:pPr>
              <w:rPr/>
            </w:pPr>
            <w:r>
              <w:rPr/>
              <w:t>3</w:t>
            </w:r>
          </w:p>
        </w:tc>
        <w:tc>
          <w:tcPr>
            <w:tcW w:w="2385" w:type="dxa"/>
          </w:tcPr>
          <w:p>
            <w:pPr>
              <w:rPr/>
            </w:pPr>
            <w:r>
              <w:rPr/>
              <w:t>数据上传</w:t>
            </w:r>
          </w:p>
        </w:tc>
        <w:tc>
          <w:tcPr>
            <w:tcW w:w="5970" w:type="dxa"/>
          </w:tcPr>
          <w:p>
            <w:pPr>
              <w:rPr/>
            </w:pPr>
            <w:r>
              <w:rPr/>
              <w:t>创建上传方案、数据上传、离线数据生成</w:t>
            </w:r>
          </w:p>
        </w:tc>
      </w:tr>
    </w:tbl>
    <w:p>
      <w:pPr>
        <w:pStyle w:val="ablt93"/>
        <w:ind w:left="0"/>
        <w:rPr/>
      </w:pPr>
    </w:p>
    <w:p>
      <w:pPr>
        <w:pStyle w:val="zesc86"/>
        <w:numPr>
          <w:ilvl w:val="2"/>
          <w:numId w:val="1"/>
        </w:numPr>
        <w:pBdr/>
        <w:rPr/>
      </w:pPr>
      <w:r>
        <w:rPr/>
        <w:t>操作指引</w:t>
      </w:r>
    </w:p>
    <w:p>
      <w:pPr>
        <w:pStyle w:val="1w583x"/>
        <w:numPr>
          <w:ilvl w:val="3"/>
          <w:numId w:val="1"/>
        </w:numPr>
        <w:pBdr/>
        <w:rPr/>
      </w:pPr>
      <w:r>
        <w:rPr/>
        <w:t>网络连通-在线</w:t>
      </w:r>
    </w:p>
    <w:p>
      <w:pPr>
        <w:pStyle w:val="ablt93"/>
        <w:numPr>
          <w:ilvl w:val="0"/>
          <w:numId w:val="12"/>
        </w:numPr>
        <w:pBdr/>
        <w:ind/>
        <w:rPr/>
      </w:pPr>
      <w:r>
        <w:rPr/>
        <w:t>企业：注册连接信息并同步至国资委，创建两服务之间的连接；</w:t>
      </w:r>
    </w:p>
    <w:p>
      <w:pPr>
        <w:pStyle w:val="ablt93"/>
        <w:pBdr/>
        <w:ind w:left="0"/>
        <w:rPr/>
      </w:pPr>
      <w:r>
        <w:rPr/>
        <w:drawing>
          <wp:inline distT="0" distB="0" distL="0" distR="0">
            <wp:extent cx="5760085" cy="2811041"/>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7"/>
                    <a:stretch/>
                  </pic:blipFill>
                  <pic:spPr>
                    <a:xfrm>
                      <a:off x="0" y="0"/>
                      <a:ext cx="5760085" cy="2811041"/>
                    </a:xfrm>
                    <a:prstGeom prst="rect">
                      <a:avLst/>
                    </a:prstGeom>
                  </pic:spPr>
                </pic:pic>
              </a:graphicData>
            </a:graphic>
          </wp:inline>
        </w:drawing>
      </w:r>
    </w:p>
    <w:p>
      <w:pPr>
        <w:pStyle w:val="ablt93"/>
        <w:numPr>
          <w:ilvl w:val="0"/>
          <w:numId w:val="12"/>
        </w:numPr>
        <w:pBdr/>
        <w:ind/>
        <w:rPr/>
      </w:pPr>
      <w:r>
        <w:rPr/>
        <w:t>国资委：启用连接；</w:t>
      </w:r>
    </w:p>
    <w:p>
      <w:pPr>
        <w:pStyle w:val="ablt93"/>
        <w:pBdr/>
        <w:ind w:left="0"/>
        <w:rPr/>
      </w:pPr>
      <w:r>
        <w:rPr/>
        <w:drawing>
          <wp:inline distT="0" distB="0" distL="0" distR="0">
            <wp:extent cx="5760085" cy="2811041"/>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8"/>
                    <a:stretch/>
                  </pic:blipFill>
                  <pic:spPr>
                    <a:xfrm>
                      <a:off x="0" y="0"/>
                      <a:ext cx="5760085" cy="2811041"/>
                    </a:xfrm>
                    <a:prstGeom prst="rect">
                      <a:avLst/>
                    </a:prstGeom>
                  </pic:spPr>
                </pic:pic>
              </a:graphicData>
            </a:graphic>
          </wp:inline>
        </w:drawing>
      </w:r>
    </w:p>
    <w:p>
      <w:pPr>
        <w:pStyle w:val="ablt93"/>
        <w:numPr>
          <w:ilvl w:val="0"/>
          <w:numId w:val="12"/>
        </w:numPr>
        <w:pBdr/>
        <w:ind/>
        <w:rPr/>
      </w:pPr>
      <w:r>
        <w:rPr/>
        <w:t>国资委：生成参数并同步至企业；</w:t>
      </w:r>
    </w:p>
    <w:p>
      <w:pPr>
        <w:pStyle w:val="ablt93"/>
        <w:pBdr/>
        <w:ind w:left="0"/>
        <w:rPr/>
      </w:pPr>
      <w:r>
        <w:rPr/>
        <w:drawing>
          <wp:inline distT="0" distB="0" distL="0" distR="0">
            <wp:extent cx="5760085" cy="2811041"/>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9"/>
                    <a:stretch/>
                  </pic:blipFill>
                  <pic:spPr>
                    <a:xfrm>
                      <a:off x="0" y="0"/>
                      <a:ext cx="5760085" cy="2811041"/>
                    </a:xfrm>
                    <a:prstGeom prst="rect">
                      <a:avLst/>
                    </a:prstGeom>
                  </pic:spPr>
                </pic:pic>
              </a:graphicData>
            </a:graphic>
          </wp:inline>
        </w:drawing>
      </w:r>
    </w:p>
    <w:p>
      <w:pPr>
        <w:pStyle w:val="ablt93"/>
        <w:numPr>
          <w:ilvl w:val="0"/>
          <w:numId w:val="12"/>
        </w:numPr>
        <w:pBdr/>
        <w:ind/>
        <w:rPr/>
      </w:pPr>
      <w:r>
        <w:rPr/>
        <w:t>企业：更新参数，下载参数更新说明；</w:t>
      </w:r>
    </w:p>
    <w:p>
      <w:pPr>
        <w:pStyle w:val="ablt93"/>
        <w:pBdr/>
        <w:ind w:left="0"/>
        <w:rPr/>
      </w:pPr>
      <w:r>
        <w:rPr/>
        <w:drawing>
          <wp:inline distT="0" distB="0" distL="0" distR="0">
            <wp:extent cx="5760085" cy="2811041"/>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0"/>
                    <a:stretch/>
                  </pic:blipFill>
                  <pic:spPr>
                    <a:xfrm>
                      <a:off x="0" y="0"/>
                      <a:ext cx="5760085" cy="2811041"/>
                    </a:xfrm>
                    <a:prstGeom prst="rect">
                      <a:avLst/>
                    </a:prstGeom>
                  </pic:spPr>
                </pic:pic>
              </a:graphicData>
            </a:graphic>
          </wp:inline>
        </w:drawing>
      </w:r>
    </w:p>
    <w:p>
      <w:pPr>
        <w:pStyle w:val="ablt93"/>
        <w:numPr>
          <w:ilvl w:val="0"/>
          <w:numId w:val="12"/>
        </w:numPr>
        <w:pBdr/>
        <w:ind/>
        <w:rPr/>
      </w:pPr>
      <w:r>
        <w:rPr/>
        <w:t>企业：发布任务；</w:t>
      </w:r>
    </w:p>
    <w:p>
      <w:pPr>
        <w:pStyle w:val="ablt93"/>
        <w:pBdr/>
        <w:ind w:left="0"/>
        <w:rPr/>
      </w:pPr>
      <w:r>
        <w:rPr/>
        <w:drawing>
          <wp:inline distT="0" distB="0" distL="0" distR="0">
            <wp:extent cx="5760085" cy="2811041"/>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1"/>
                    <a:stretch/>
                  </pic:blipFill>
                  <pic:spPr>
                    <a:xfrm>
                      <a:off x="0" y="0"/>
                      <a:ext cx="5760085" cy="2811041"/>
                    </a:xfrm>
                    <a:prstGeom prst="rect">
                      <a:avLst/>
                    </a:prstGeom>
                  </pic:spPr>
                </pic:pic>
              </a:graphicData>
            </a:graphic>
          </wp:inline>
        </w:drawing>
      </w:r>
    </w:p>
    <w:p>
      <w:pPr>
        <w:pStyle w:val="ablt93"/>
        <w:numPr>
          <w:ilvl w:val="0"/>
          <w:numId w:val="12"/>
        </w:numPr>
        <w:pBdr/>
        <w:ind/>
        <w:rPr/>
      </w:pPr>
      <w:r>
        <w:rPr/>
        <w:t>企业：新增任务绑定机构类型下的单位；</w:t>
      </w:r>
    </w:p>
    <w:p>
      <w:pPr>
        <w:pStyle w:val="ablt93"/>
        <w:pBdr/>
        <w:ind w:left="0"/>
        <w:rPr/>
      </w:pPr>
      <w:r>
        <w:rPr/>
        <w:drawing>
          <wp:inline distT="0" distB="0" distL="0" distR="0">
            <wp:extent cx="5760085" cy="2811041"/>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2"/>
                    <a:stretch/>
                  </pic:blipFill>
                  <pic:spPr>
                    <a:xfrm>
                      <a:off x="0" y="0"/>
                      <a:ext cx="5760085" cy="2811041"/>
                    </a:xfrm>
                    <a:prstGeom prst="rect">
                      <a:avLst/>
                    </a:prstGeom>
                  </pic:spPr>
                </pic:pic>
              </a:graphicData>
            </a:graphic>
          </wp:inline>
        </w:drawing>
      </w:r>
    </w:p>
    <w:p>
      <w:pPr>
        <w:pStyle w:val="ablt93"/>
        <w:numPr>
          <w:ilvl w:val="0"/>
          <w:numId w:val="12"/>
        </w:numPr>
        <w:pBdr/>
        <w:ind/>
        <w:rPr/>
      </w:pPr>
      <w:r>
        <w:rPr/>
        <w:t>企业：填写数据和出错说明；</w:t>
      </w:r>
    </w:p>
    <w:p>
      <w:pPr>
        <w:pStyle w:val="ablt93"/>
        <w:pBdr/>
        <w:ind w:left="0"/>
        <w:rPr/>
      </w:pPr>
      <w:r>
        <w:rPr/>
        <w:drawing>
          <wp:inline distT="0" distB="0" distL="0" distR="0">
            <wp:extent cx="5760085" cy="2811041"/>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3"/>
                    <a:stretch/>
                  </pic:blipFill>
                  <pic:spPr>
                    <a:xfrm>
                      <a:off x="0" y="0"/>
                      <a:ext cx="5760085" cy="2811041"/>
                    </a:xfrm>
                    <a:prstGeom prst="rect">
                      <a:avLst/>
                    </a:prstGeom>
                  </pic:spPr>
                </pic:pic>
              </a:graphicData>
            </a:graphic>
          </wp:inline>
        </w:drawing>
      </w:r>
    </w:p>
    <w:p>
      <w:pPr>
        <w:pStyle w:val="ablt93"/>
        <w:numPr>
          <w:ilvl w:val="0"/>
          <w:numId w:val="12"/>
        </w:numPr>
        <w:pBdr/>
        <w:ind/>
        <w:rPr/>
      </w:pPr>
      <w:r>
        <w:rPr/>
        <w:t>企业：配置与国资委的单位映射；定位行政组织，在国资单位代码中填写该单位在国资委的单位代码；</w:t>
      </w:r>
    </w:p>
    <w:p>
      <w:pPr>
        <w:pStyle w:val="ablt93"/>
        <w:pBdr/>
        <w:ind w:left="0"/>
        <w:rPr/>
      </w:pPr>
      <w:r>
        <w:rPr/>
        <w:drawing>
          <wp:inline distT="0" distB="0" distL="0" distR="0">
            <wp:extent cx="5760085" cy="2811041"/>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4"/>
                    <a:stretch/>
                  </pic:blipFill>
                  <pic:spPr>
                    <a:xfrm>
                      <a:off x="0" y="0"/>
                      <a:ext cx="5760085" cy="2811041"/>
                    </a:xfrm>
                    <a:prstGeom prst="rect">
                      <a:avLst/>
                    </a:prstGeom>
                  </pic:spPr>
                </pic:pic>
              </a:graphicData>
            </a:graphic>
          </wp:inline>
        </w:drawing>
      </w:r>
    </w:p>
    <w:p>
      <w:pPr>
        <w:pStyle w:val="ablt93"/>
        <w:numPr>
          <w:ilvl w:val="0"/>
          <w:numId w:val="12"/>
        </w:numPr>
        <w:pBdr/>
        <w:ind/>
        <w:rPr/>
      </w:pPr>
      <w:r>
        <w:rPr/>
        <w:t>企业：数据上传，只可选择【参数更新管理】中存在的任务；</w:t>
      </w:r>
    </w:p>
    <w:p>
      <w:pPr>
        <w:pStyle w:val="ablt93"/>
        <w:pBdr/>
        <w:ind w:left="0"/>
        <w:rPr/>
      </w:pPr>
      <w:r>
        <w:rPr/>
        <w:drawing>
          <wp:inline distT="0" distB="0" distL="0" distR="0">
            <wp:extent cx="5760085" cy="2811041"/>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5"/>
                    <a:stretch/>
                  </pic:blipFill>
                  <pic:spPr>
                    <a:xfrm>
                      <a:off x="0" y="0"/>
                      <a:ext cx="5760085" cy="2811041"/>
                    </a:xfrm>
                    <a:prstGeom prst="rect">
                      <a:avLst/>
                    </a:prstGeom>
                  </pic:spPr>
                </pic:pic>
              </a:graphicData>
            </a:graphic>
          </wp:inline>
        </w:drawing>
      </w:r>
    </w:p>
    <w:p>
      <w:pPr>
        <w:pStyle w:val="ablt93"/>
        <w:numPr>
          <w:ilvl w:val="0"/>
          <w:numId w:val="12"/>
        </w:numPr>
        <w:pBdr/>
        <w:ind/>
        <w:rPr/>
      </w:pPr>
      <w:r>
        <w:rPr/>
        <w:t>国资委：数据退回</w:t>
      </w:r>
    </w:p>
    <w:p>
      <w:pPr>
        <w:pStyle w:val="ablt93"/>
        <w:ind w:left="0"/>
        <w:rPr/>
      </w:pPr>
      <w:r>
        <w:rPr/>
        <w:drawing>
          <wp:inline distT="0" distB="0" distL="0" distR="0">
            <wp:extent cx="5760085" cy="2811041"/>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6"/>
                    <a:stretch/>
                  </pic:blipFill>
                  <pic:spPr>
                    <a:xfrm>
                      <a:off x="0" y="0"/>
                      <a:ext cx="5760085" cy="2811041"/>
                    </a:xfrm>
                    <a:prstGeom prst="rect">
                      <a:avLst/>
                    </a:prstGeom>
                  </pic:spPr>
                </pic:pic>
              </a:graphicData>
            </a:graphic>
          </wp:inline>
        </w:drawing>
      </w:r>
    </w:p>
    <w:p>
      <w:pPr>
        <w:pStyle w:val="1w583x"/>
        <w:numPr>
          <w:ilvl w:val="3"/>
          <w:numId w:val="1"/>
        </w:numPr>
        <w:pBdr>
          <w:bottom/>
        </w:pBdr>
        <w:rPr/>
      </w:pPr>
      <w:r>
        <w:rPr/>
        <w:t>网络不通-离线（仅支持参数离线同步，不支持数据离线上传）</w:t>
      </w:r>
    </w:p>
    <w:p>
      <w:pPr>
        <w:pStyle w:val="ablt93"/>
        <w:numPr/>
        <w:pBdr/>
        <w:rPr/>
      </w:pPr>
      <w:r>
        <w:rPr/>
        <w:t>1）国资委端：参数导出</w:t>
      </w:r>
    </w:p>
    <w:p>
      <w:pPr>
        <w:pStyle w:val="ablt93"/>
        <w:numPr/>
        <w:pBdr/>
        <w:rPr/>
      </w:pPr>
      <w:r>
        <w:rPr/>
        <w:drawing>
          <wp:inline distT="0" distB="0" distL="0" distR="0">
            <wp:extent cx="5760085" cy="2811041"/>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17"/>
                    <a:stretch/>
                  </pic:blipFill>
                  <pic:spPr>
                    <a:xfrm>
                      <a:off x="0" y="0"/>
                      <a:ext cx="5760085" cy="2811041"/>
                    </a:xfrm>
                    <a:prstGeom prst="rect">
                      <a:avLst/>
                    </a:prstGeom>
                  </pic:spPr>
                </pic:pic>
              </a:graphicData>
            </a:graphic>
          </wp:inline>
        </w:drawing>
      </w:r>
    </w:p>
    <w:p>
      <w:pPr>
        <w:pStyle w:val="ablt93"/>
        <w:numPr/>
        <w:pBdr/>
        <w:rPr/>
      </w:pPr>
      <w:r>
        <w:rPr/>
        <w:t>2）企业端：参数导入并更新；</w:t>
      </w:r>
    </w:p>
    <w:p>
      <w:pPr>
        <w:pStyle w:val="ablt93"/>
        <w:numPr/>
        <w:rPr/>
      </w:pPr>
      <w:r>
        <w:rPr/>
        <w:drawing>
          <wp:inline distT="0" distB="0" distL="0" distR="0">
            <wp:extent cx="5760085" cy="2811041"/>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18"/>
                    <a:stretch/>
                  </pic:blipFill>
                  <pic:spPr>
                    <a:xfrm>
                      <a:off x="0" y="0"/>
                      <a:ext cx="5760085" cy="2811041"/>
                    </a:xfrm>
                    <a:prstGeom prst="rect">
                      <a:avLst/>
                    </a:prstGeom>
                  </pic:spPr>
                </pic:pic>
              </a:graphicData>
            </a:graphic>
          </wp:inline>
        </w:drawing>
      </w:r>
    </w:p>
    <w:p>
      <w:pPr>
        <w:pStyle w:val="ablt93"/>
        <w:ind w:left="0"/>
        <w:rPr/>
      </w:pPr>
    </w:p>
    <w:p>
      <w:pPr>
        <w:pStyle w:val="rkcc7u"/>
        <w:numPr>
          <w:ilvl w:val="1"/>
          <w:numId w:val="1"/>
        </w:numPr>
        <w:pBdr/>
        <w:rPr/>
      </w:pPr>
      <w:r>
        <w:rPr/>
        <w:t>场景二：企业（JQR）与国资委（女娲）二级部署</w:t>
      </w:r>
    </w:p>
    <w:p>
      <w:pPr>
        <w:pStyle w:val="zesc86"/>
        <w:numPr>
          <w:ilvl w:val="2"/>
          <w:numId w:val="1"/>
        </w:numPr>
        <w:pBdr/>
        <w:rPr/>
      </w:pPr>
      <w:r>
        <w:rPr/>
        <w:t>场景背景</w:t>
      </w:r>
    </w:p>
    <w:p>
      <w:pPr>
        <w:pStyle w:val="ablt93"/>
        <w:numPr/>
        <w:pBdr>
          <w:bottom/>
        </w:pBdr>
        <w:ind w:left="0" w:firstLineChars="200"/>
        <w:rPr/>
      </w:pPr>
      <w:r>
        <w:rPr/>
        <w:t>隶属于国资委管辖的央企以及部分国有企业，每年需要定期向国资委报送月报、季报、年报等不同报表数据。国资委与下级企业单独部署服务和数据库，且国资委使用久其女娲平台合并报表系统，企业使用jqr报表。</w:t>
      </w:r>
    </w:p>
    <w:p>
      <w:pPr>
        <w:pStyle w:val="zesc86"/>
        <w:numPr>
          <w:ilvl w:val="2"/>
          <w:numId w:val="1"/>
        </w:numPr>
        <w:pBdr/>
        <w:rPr/>
      </w:pPr>
      <w:r>
        <w:rPr/>
        <w:t>使用前置条件</w:t>
      </w:r>
    </w:p>
    <w:p>
      <w:pPr>
        <w:pStyle w:val="ablt93"/>
        <w:pBdr/>
        <w:rPr/>
      </w:pPr>
      <w:r>
        <w:rPr/>
        <w:t>1）企业端使用久其的jqr报表，国资委使用女娲平台报表；</w:t>
      </w:r>
    </w:p>
    <w:p>
      <w:pPr>
        <w:pStyle w:val="ablt93"/>
        <w:numPr/>
        <w:pBdr/>
        <w:rPr>
          <w:shd w:val="clear" w:color="auto" w:fill="FFFF00"/>
        </w:rPr>
      </w:pPr>
      <w:r>
        <w:rPr/>
        <w:t>2）用于数据上传国资的所有任务参数需由企业自己创建，不支持参数的同步；需要进行数据上传的任务，</w:t>
      </w:r>
      <w:r>
        <w:rPr>
          <w:shd w:val="clear" w:color="auto" w:fill="FFFF00"/>
        </w:rPr>
        <w:t>企业和国资委的任务名称需保持一致；</w:t>
      </w:r>
    </w:p>
    <w:p>
      <w:pPr>
        <w:pStyle w:val="ablt93"/>
        <w:numPr/>
        <w:pBdr>
          <w:bottom/>
        </w:pBdr>
        <w:rPr>
          <w:shd w:val="clear" w:color="auto" w:fill="FFFF00"/>
        </w:rPr>
      </w:pPr>
      <w:r>
        <w:rPr/>
        <w:t>3）企业与国资委均需配置映射方案，实现单位、指标、公式的映射；</w:t>
      </w:r>
      <w:r>
        <w:rPr>
          <w:shd w:val="clear" w:color="auto" w:fill="FFFF00"/>
        </w:rPr>
        <w:t>国资委的映射方案需要使用企业端上传任务的jio参数包导入；</w:t>
      </w:r>
      <w:r>
        <w:rPr>
          <w:i w:val="false"/>
          <w:strike w:val="false"/>
          <w:color w:val="000000"/>
          <w:u w:val="none"/>
        </w:rPr>
        <w:t>JQR 上报使用的 JIO 映射方案名称与新报表数据接收任务下的映射方案名称保持一 致</w:t>
      </w:r>
    </w:p>
    <w:p>
      <w:pPr>
        <w:pStyle w:val="ablt93"/>
        <w:numPr/>
        <w:pBdr>
          <w:bottom/>
        </w:pBdr>
        <w:rPr/>
      </w:pPr>
      <w:r>
        <w:rPr/>
        <w:t>4）在线数据上传时无法选择单位分批次上传，需企业所有上报国资的单位数据无误后统一由管理员全量上报至国资委；</w:t>
      </w:r>
    </w:p>
    <w:p>
      <w:pPr>
        <w:pStyle w:val="ablt93"/>
        <w:numPr/>
        <w:pBdr>
          <w:bottom/>
        </w:pBdr>
        <w:rPr/>
      </w:pPr>
      <w:r>
        <w:rPr/>
        <w:t>6）若采用在线数据上传模式，企业端任务绑定的机构类型下单位范围需与上传国资委的单位范围保持一致，或者通过单位映射范围控制数据上传的单位范围；离线则无需控制，jio导出时可选择单位范围；</w:t>
      </w:r>
    </w:p>
    <w:p>
      <w:pPr>
        <w:pStyle w:val="zesc86"/>
        <w:numPr>
          <w:ilvl w:val="2"/>
          <w:numId w:val="1"/>
        </w:numPr>
        <w:pBdr/>
        <w:rPr/>
      </w:pPr>
      <w:r>
        <w:rPr/>
        <w:t>实施方案</w:t>
      </w:r>
    </w:p>
    <w:p>
      <w:pPr>
        <w:pStyle w:val="ablt93"/>
        <w:numPr>
          <w:ilvl w:val="0"/>
          <w:numId w:val="13"/>
        </w:numPr>
        <w:pBdr/>
        <w:rPr>
          <w:b/>
        </w:rPr>
      </w:pPr>
      <w:r>
        <w:rPr>
          <w:b/>
        </w:rPr>
        <w:t>环境部署：</w:t>
      </w:r>
    </w:p>
    <w:p>
      <w:pPr>
        <w:pStyle w:val="ablt93"/>
        <w:pBdr/>
        <w:ind/>
        <w:rPr/>
      </w:pPr>
      <w:r>
        <w:rPr/>
        <w:t>企业使用jqr程序部署，国资委使用合并报表程序部署；</w:t>
      </w:r>
    </w:p>
    <w:p>
      <w:pPr>
        <w:pStyle w:val="ablt93"/>
        <w:numPr>
          <w:ilvl w:val="0"/>
          <w:numId w:val="14"/>
        </w:numPr>
        <w:pBdr/>
        <w:rPr>
          <w:b/>
        </w:rPr>
      </w:pPr>
      <w:r>
        <w:rPr>
          <w:b/>
        </w:rPr>
        <w:t>创建连接:</w:t>
      </w:r>
    </w:p>
    <w:p>
      <w:pPr>
        <w:pStyle w:val="ablt93"/>
        <w:pBdr/>
        <w:ind/>
        <w:rPr/>
      </w:pPr>
      <w:r>
        <w:rPr/>
        <w:t>1）若为网络联通状态，则在企业jqr端维护国资委的服务地址信息，用于数据上传时获取目标服务器地址；在国资委端维护企业的服务地址信息，用于数据装入时识别上报单位；</w:t>
      </w:r>
    </w:p>
    <w:p>
      <w:pPr>
        <w:pStyle w:val="ablt93"/>
        <w:pBdr/>
        <w:ind/>
        <w:rPr/>
      </w:pPr>
      <w:r>
        <w:rPr/>
        <w:t>2）若为网络不通的状态，则无需维护地址信息，直接使用jio导入导出进行数据传输；</w:t>
      </w:r>
    </w:p>
    <w:p>
      <w:pPr>
        <w:pStyle w:val="ablt93"/>
        <w:numPr>
          <w:ilvl w:val="0"/>
          <w:numId w:val="15"/>
        </w:numPr>
        <w:pBdr/>
        <w:rPr/>
      </w:pPr>
      <w:r>
        <w:rPr>
          <w:b/>
        </w:rPr>
        <w:t>参数：</w:t>
      </w:r>
    </w:p>
    <w:p>
      <w:pPr>
        <w:pStyle w:val="ablt93"/>
        <w:pBdr/>
        <w:ind/>
        <w:rPr/>
      </w:pPr>
      <w:r>
        <w:rPr/>
        <w:t>该场景不支持参数的同步，参数需要两边各自创建，任务标识、任务名称、指标标识、指标名称都不需要保持一致，企业通过jio映射方案创建企业与国资委两个任务之间的映射关系；</w:t>
      </w:r>
    </w:p>
    <w:p>
      <w:pPr>
        <w:pStyle w:val="ablt93"/>
        <w:numPr>
          <w:ilvl w:val="0"/>
          <w:numId w:val="16"/>
        </w:numPr>
        <w:pBdr/>
        <w:rPr>
          <w:b/>
        </w:rPr>
      </w:pPr>
      <w:r>
        <w:rPr>
          <w:b/>
        </w:rPr>
        <w:t>数据（在线上传）：</w:t>
      </w:r>
    </w:p>
    <w:p>
      <w:pPr>
        <w:pStyle w:val="ablt93"/>
        <w:pBdr/>
        <w:ind w:left="0"/>
        <w:rPr>
          <w:b/>
        </w:rPr>
      </w:pPr>
      <w:r>
        <w:rPr>
          <w:b w:val="false"/>
        </w:rPr>
        <w:t>1）</w:t>
      </w:r>
      <w:r>
        <w:rPr/>
        <w:t>企业维护jqr映射方案，国资委通过导入jio新建对应的映射方案；</w:t>
      </w:r>
    </w:p>
    <w:p>
      <w:pPr>
        <w:pStyle w:val="ablt93"/>
        <w:pBdr/>
        <w:ind/>
        <w:rPr/>
      </w:pPr>
      <w:r>
        <w:rPr/>
        <w:t>2）支持全量单位的数据上传，企业所有单位完成数据填报审核和出错说明编写后，由集团管理员统一将全量数据一次性上传至国资委，若为在线模式，则更新指定单位的单位状态为已上报；</w:t>
      </w:r>
    </w:p>
    <w:p>
      <w:pPr>
        <w:pStyle w:val="ablt93"/>
        <w:pBdr/>
        <w:ind/>
        <w:rPr/>
      </w:pPr>
      <w:r>
        <w:rPr/>
        <w:t>3）在线数据上传时校验国资委指定单位的单位状态，若为已上报状态则不允许数据上传，需国资委进行数据退回后才能进行数据上传；</w:t>
      </w:r>
    </w:p>
    <w:p>
      <w:pPr>
        <w:pStyle w:val="ablt93"/>
        <w:pBdr/>
        <w:ind/>
        <w:rPr/>
      </w:pPr>
      <w:r>
        <w:rPr/>
        <w:t>4）不支持跨服务退回，若国资委审核有错误需退回至企业，则直接定位已上报单位，执行普通的退回即可，可将状态更新为已退回，从而允许企业再次数据上传，但不会跨服务给企业发送消息，需线下通知企业；</w:t>
      </w:r>
    </w:p>
    <w:p>
      <w:pPr>
        <w:pStyle w:val="ablt93"/>
        <w:numPr>
          <w:ilvl w:val="0"/>
          <w:numId w:val="17"/>
        </w:numPr>
        <w:pBdr/>
        <w:rPr>
          <w:b/>
        </w:rPr>
      </w:pPr>
      <w:r>
        <w:rPr>
          <w:b/>
        </w:rPr>
        <w:t>数据（离线上传）</w:t>
      </w:r>
    </w:p>
    <w:p>
      <w:pPr>
        <w:pStyle w:val="ablt93"/>
        <w:pBdr/>
        <w:ind/>
        <w:rPr/>
      </w:pPr>
      <w:r>
        <w:rPr/>
        <w:t>企业维护jqr映射方案，国资委通过导入jio新建对应的映射方案，根据jqr映射方案导出jio包，可自定义导出单位范围和报表范围，在国资委数据录入界面通过【jio导入】将数据装入；</w:t>
      </w:r>
    </w:p>
    <w:p>
      <w:pPr>
        <w:pStyle w:val="ablt93"/>
        <w:pBdr>
          <w:bottom/>
        </w:pBdr>
        <w:ind/>
        <w:rPr/>
      </w:pPr>
      <w:r>
        <w:rPr/>
        <w:t>注：离线数据同步不会更新上报状态；</w:t>
      </w:r>
    </w:p>
    <w:p>
      <w:pPr>
        <w:pStyle w:val="zesc86"/>
        <w:numPr>
          <w:ilvl w:val="2"/>
          <w:numId w:val="1"/>
        </w:numPr>
        <w:pBdr/>
        <w:rPr/>
      </w:pPr>
      <w:r>
        <w:rPr/>
        <w:t>业务流程图</w:t>
      </w:r>
    </w:p>
    <w:p>
      <w:pPr>
        <w:pStyle w:val="ablt93"/>
        <w:pBdr/>
        <w:rPr/>
      </w:pPr>
      <w:r>
        <w:rPr/>
        <w:t>在线模式：</w:t>
      </w:r>
    </w:p>
    <w:p>
      <w:pPr>
        <w:pStyle w:val="ablt93"/>
        <w:rPr/>
      </w:pPr>
      <w:r>
        <w:rPr/>
        <w:drawing>
          <wp:inline distT="0" distB="0" distL="0" distR="0">
            <wp:extent cx="5760085" cy="3820404"/>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19"/>
                    <a:stretch/>
                  </pic:blipFill>
                  <pic:spPr>
                    <a:xfrm>
                      <a:off x="0" y="0"/>
                      <a:ext cx="5760085" cy="3820404"/>
                    </a:xfrm>
                    <a:prstGeom prst="rect">
                      <a:avLst/>
                    </a:prstGeom>
                  </pic:spPr>
                </pic:pic>
              </a:graphicData>
            </a:graphic>
          </wp:inline>
        </w:drawing>
      </w:r>
    </w:p>
    <w:p>
      <w:pPr>
        <w:pStyle w:val="zesc86"/>
        <w:numPr>
          <w:ilvl w:val="2"/>
          <w:numId w:val="1"/>
        </w:numPr>
        <w:pBdr/>
        <w:rPr/>
      </w:pPr>
      <w:r>
        <w:rPr/>
        <w:t>使用功能列表</w:t>
      </w:r>
    </w:p>
    <w:p>
      <w:pPr>
        <w:pStyle w:val="ablt93"/>
        <w:pBdr>
          <w:bottom/>
        </w:pBdr>
        <w:ind/>
        <w:rPr/>
      </w:pPr>
      <w:r>
        <w:rPr/>
        <w:t>在线：</w:t>
      </w:r>
    </w:p>
    <w:tbl>
      <w:tblPr>
        <w:tblStyle w:val="vqngml"/>
        <w:tblLayout w:type="fixed"/>
        <w:tblLook/>
      </w:tblPr>
      <w:tblGrid>
        <w:gridCol w:w="690"/>
        <w:gridCol w:w="2385"/>
        <w:gridCol w:w="5970"/>
      </w:tblGrid>
      <w:tr>
        <w:trPr>
          <w:trHeight/>
        </w:trPr>
        <w:tc>
          <w:tcPr>
            <w:tcW w:w="690" w:type="dxa"/>
            <w:shd w:val="clear" w:color="auto" w:fill="FFEEAD"/>
          </w:tcPr>
          <w:p>
            <w:pPr>
              <w:numPr/>
              <w:pBdr/>
              <w:rPr>
                <w:b/>
              </w:rPr>
            </w:pPr>
            <w:r>
              <w:rPr>
                <w:b/>
              </w:rPr>
              <w:t>序号</w:t>
            </w:r>
          </w:p>
        </w:tc>
        <w:tc>
          <w:tcPr>
            <w:tcW w:w="2385" w:type="dxa"/>
            <w:shd w:val="clear" w:color="auto" w:fill="FFEEAD"/>
          </w:tcPr>
          <w:p>
            <w:pPr>
              <w:numPr/>
              <w:rPr>
                <w:b/>
              </w:rPr>
            </w:pPr>
            <w:r>
              <w:rPr>
                <w:b/>
              </w:rPr>
              <w:t>功能名称</w:t>
            </w:r>
          </w:p>
        </w:tc>
        <w:tc>
          <w:tcPr>
            <w:tcW w:w="5970" w:type="dxa"/>
            <w:shd w:val="clear" w:color="auto" w:fill="FFEEAD"/>
          </w:tcPr>
          <w:p>
            <w:pPr>
              <w:numPr/>
              <w:rPr>
                <w:b/>
              </w:rPr>
            </w:pPr>
            <w:r>
              <w:rPr>
                <w:b/>
              </w:rPr>
              <w:t>支持功能</w:t>
            </w:r>
          </w:p>
        </w:tc>
      </w:tr>
      <w:tr>
        <w:trPr>
          <w:trHeight/>
        </w:trPr>
        <w:tc>
          <w:tcPr>
            <w:tcW w:w="9045" w:type="dxa"/>
            <w:gridSpan w:val="3"/>
          </w:tcPr>
          <w:p>
            <w:pPr>
              <w:numPr/>
              <w:rPr/>
            </w:pPr>
            <w:r>
              <w:rPr/>
              <w:t>国资委使用：</w:t>
            </w:r>
          </w:p>
        </w:tc>
      </w:tr>
      <w:tr>
        <w:trPr>
          <w:trHeight/>
        </w:trPr>
        <w:tc>
          <w:tcPr>
            <w:tcW w:w="690" w:type="dxa"/>
          </w:tcPr>
          <w:p>
            <w:pPr>
              <w:numPr/>
              <w:rPr/>
            </w:pPr>
            <w:r>
              <w:rPr/>
              <w:t>1</w:t>
            </w:r>
          </w:p>
        </w:tc>
        <w:tc>
          <w:tcPr>
            <w:tcW w:w="2385" w:type="dxa"/>
          </w:tcPr>
          <w:p>
            <w:pPr>
              <w:numPr/>
              <w:rPr/>
            </w:pPr>
            <w:r>
              <w:rPr/>
              <w:t>目标服务器管理</w:t>
            </w:r>
          </w:p>
        </w:tc>
        <w:tc>
          <w:tcPr>
            <w:tcW w:w="5970" w:type="dxa"/>
          </w:tcPr>
          <w:p>
            <w:pPr>
              <w:numPr/>
              <w:rPr/>
            </w:pPr>
            <w:r>
              <w:rPr/>
              <w:t>接收企业注册连接信息、创建连接、启用停用企业连接</w:t>
            </w:r>
          </w:p>
        </w:tc>
      </w:tr>
      <w:tr>
        <w:trPr>
          <w:trHeight/>
        </w:trPr>
        <w:tc>
          <w:tcPr>
            <w:tcW w:w="690" w:type="dxa"/>
          </w:tcPr>
          <w:p>
            <w:pPr>
              <w:numPr/>
              <w:rPr/>
            </w:pPr>
            <w:r>
              <w:rPr/>
              <w:t>2</w:t>
            </w:r>
          </w:p>
        </w:tc>
        <w:tc>
          <w:tcPr>
            <w:tcW w:w="2385" w:type="dxa"/>
          </w:tcPr>
          <w:p>
            <w:pPr>
              <w:numPr/>
              <w:rPr/>
            </w:pPr>
            <w:r>
              <w:rPr/>
              <w:t>上传数据管理</w:t>
            </w:r>
          </w:p>
        </w:tc>
        <w:tc>
          <w:tcPr>
            <w:tcW w:w="5970" w:type="dxa"/>
          </w:tcPr>
          <w:p>
            <w:pPr>
              <w:numPr/>
              <w:rPr/>
            </w:pPr>
            <w:r>
              <w:rPr/>
              <w:t>接收企业上传数据、数据装载</w:t>
            </w:r>
          </w:p>
        </w:tc>
      </w:tr>
      <w:tr>
        <w:trPr>
          <w:trHeight/>
        </w:trPr>
        <w:tc>
          <w:tcPr>
            <w:tcW w:w="690" w:type="dxa"/>
          </w:tcPr>
          <w:p>
            <w:pPr>
              <w:numPr/>
              <w:rPr/>
            </w:pPr>
            <w:r>
              <w:rPr/>
              <w:t>3</w:t>
            </w:r>
          </w:p>
        </w:tc>
        <w:tc>
          <w:tcPr>
            <w:tcW w:w="2385" w:type="dxa"/>
          </w:tcPr>
          <w:p>
            <w:pPr>
              <w:numPr/>
              <w:rPr/>
            </w:pPr>
            <w:r>
              <w:rPr/>
              <w:t>数据录入</w:t>
            </w:r>
          </w:p>
        </w:tc>
        <w:tc>
          <w:tcPr>
            <w:tcW w:w="5970" w:type="dxa"/>
          </w:tcPr>
          <w:p>
            <w:pPr>
              <w:numPr/>
              <w:rPr/>
            </w:pPr>
            <w:r>
              <w:rPr/>
              <w:t>企业上传数据查看</w:t>
            </w:r>
          </w:p>
        </w:tc>
      </w:tr>
      <w:tr>
        <w:trPr>
          <w:trHeight/>
        </w:trPr>
        <w:tc>
          <w:tcPr>
            <w:tcW w:w="9045" w:type="dxa"/>
            <w:gridSpan w:val="3"/>
          </w:tcPr>
          <w:p>
            <w:pPr>
              <w:numPr/>
              <w:rPr/>
            </w:pPr>
            <w:r>
              <w:rPr/>
              <w:t>企业端使用：</w:t>
            </w:r>
          </w:p>
        </w:tc>
      </w:tr>
      <w:tr>
        <w:trPr>
          <w:trHeight/>
        </w:trPr>
        <w:tc>
          <w:tcPr>
            <w:tcW w:w="690" w:type="dxa"/>
          </w:tcPr>
          <w:p>
            <w:pPr>
              <w:numPr/>
              <w:rPr/>
            </w:pPr>
            <w:r>
              <w:rPr/>
              <w:t>1</w:t>
            </w:r>
          </w:p>
        </w:tc>
        <w:tc>
          <w:tcPr>
            <w:tcW w:w="2385" w:type="dxa"/>
          </w:tcPr>
          <w:p>
            <w:pPr>
              <w:numPr/>
              <w:rPr/>
            </w:pPr>
            <w:r>
              <w:rPr/>
              <w:t>系统选项设置</w:t>
            </w:r>
          </w:p>
        </w:tc>
        <w:tc>
          <w:tcPr>
            <w:tcW w:w="5970" w:type="dxa"/>
          </w:tcPr>
          <w:p>
            <w:pPr>
              <w:numPr/>
              <w:rPr/>
            </w:pPr>
            <w:r>
              <w:rPr/>
              <w:t>注册连接信息</w:t>
            </w:r>
          </w:p>
        </w:tc>
      </w:tr>
      <w:tr>
        <w:trPr>
          <w:trHeight/>
        </w:trPr>
        <w:tc>
          <w:tcPr>
            <w:tcW w:w="690" w:type="dxa"/>
          </w:tcPr>
          <w:p>
            <w:pPr>
              <w:numPr/>
              <w:rPr/>
            </w:pPr>
            <w:r>
              <w:rPr/>
              <w:t>2</w:t>
            </w:r>
          </w:p>
        </w:tc>
        <w:tc>
          <w:tcPr>
            <w:tcW w:w="2385" w:type="dxa"/>
          </w:tcPr>
          <w:p>
            <w:pPr>
              <w:numPr/>
              <w:rPr/>
            </w:pPr>
            <w:r>
              <w:rPr/>
              <w:t>jio映射方案管理</w:t>
            </w:r>
          </w:p>
        </w:tc>
        <w:tc>
          <w:tcPr>
            <w:tcW w:w="5970" w:type="dxa"/>
          </w:tcPr>
          <w:p>
            <w:pPr>
              <w:numPr/>
              <w:rPr/>
            </w:pPr>
            <w:r>
              <w:rPr/>
              <w:t>配置任务、指标、单位等映射关系</w:t>
            </w:r>
          </w:p>
        </w:tc>
      </w:tr>
      <w:tr>
        <w:trPr>
          <w:trHeight/>
        </w:trPr>
        <w:tc>
          <w:tcPr>
            <w:tcW w:w="690" w:type="dxa"/>
          </w:tcPr>
          <w:p>
            <w:pPr>
              <w:rPr/>
            </w:pPr>
            <w:r>
              <w:rPr/>
              <w:t>4</w:t>
            </w:r>
          </w:p>
        </w:tc>
        <w:tc>
          <w:tcPr>
            <w:tcW w:w="2385" w:type="dxa"/>
          </w:tcPr>
          <w:p>
            <w:pPr>
              <w:rPr/>
            </w:pPr>
            <w:r>
              <w:rPr/>
              <w:t>网报平台公式映射</w:t>
            </w:r>
          </w:p>
        </w:tc>
        <w:tc>
          <w:tcPr>
            <w:tcW w:w="5970" w:type="dxa"/>
          </w:tcPr>
          <w:p>
            <w:pPr>
              <w:rPr/>
            </w:pPr>
            <w:r>
              <w:rPr/>
              <w:t>配置公式的映射关系</w:t>
            </w:r>
          </w:p>
        </w:tc>
      </w:tr>
      <w:tr>
        <w:trPr>
          <w:trHeight/>
        </w:trPr>
        <w:tc>
          <w:tcPr>
            <w:tcW w:w="690" w:type="dxa"/>
          </w:tcPr>
          <w:p>
            <w:pPr>
              <w:numPr/>
              <w:rPr/>
            </w:pPr>
            <w:r>
              <w:rPr/>
              <w:t>5</w:t>
            </w:r>
          </w:p>
        </w:tc>
        <w:tc>
          <w:tcPr>
            <w:tcW w:w="2385" w:type="dxa"/>
          </w:tcPr>
          <w:p>
            <w:pPr>
              <w:numPr/>
              <w:rPr/>
            </w:pPr>
            <w:r>
              <w:rPr/>
              <w:t>数据录入-数据上传</w:t>
            </w:r>
          </w:p>
        </w:tc>
        <w:tc>
          <w:tcPr>
            <w:tcW w:w="5970" w:type="dxa"/>
          </w:tcPr>
          <w:p>
            <w:pPr>
              <w:numPr/>
              <w:rPr/>
            </w:pPr>
            <w:r>
              <w:rPr/>
              <w:t>数据上传</w:t>
            </w:r>
          </w:p>
        </w:tc>
      </w:tr>
    </w:tbl>
    <w:p>
      <w:pPr>
        <w:pStyle w:val="ablt93"/>
        <w:pBdr>
          <w:bottom/>
        </w:pBdr>
        <w:ind/>
        <w:rPr/>
      </w:pPr>
      <w:r>
        <w:rPr/>
        <w:t>离线：</w:t>
      </w:r>
    </w:p>
    <w:tbl>
      <w:tblPr>
        <w:tblStyle w:val="vqngml"/>
        <w:tblLayout w:type="fixed"/>
        <w:tblLook/>
      </w:tblPr>
      <w:tblGrid>
        <w:gridCol w:w="690"/>
        <w:gridCol w:w="2385"/>
        <w:gridCol w:w="5970"/>
      </w:tblGrid>
      <w:tr>
        <w:trPr>
          <w:trHeight/>
        </w:trPr>
        <w:tc>
          <w:tcPr>
            <w:tcW w:w="690" w:type="dxa"/>
            <w:shd w:val="clear" w:color="auto" w:fill="FFEEAD"/>
          </w:tcPr>
          <w:p>
            <w:pPr>
              <w:numPr/>
              <w:pBdr/>
              <w:rPr>
                <w:b/>
              </w:rPr>
            </w:pPr>
            <w:r>
              <w:rPr>
                <w:b/>
              </w:rPr>
              <w:t>序号</w:t>
            </w:r>
          </w:p>
        </w:tc>
        <w:tc>
          <w:tcPr>
            <w:tcW w:w="2385" w:type="dxa"/>
            <w:shd w:val="clear" w:color="auto" w:fill="FFEEAD"/>
          </w:tcPr>
          <w:p>
            <w:pPr>
              <w:numPr/>
              <w:rPr>
                <w:b/>
              </w:rPr>
            </w:pPr>
            <w:r>
              <w:rPr>
                <w:b/>
              </w:rPr>
              <w:t>功能名称</w:t>
            </w:r>
          </w:p>
        </w:tc>
        <w:tc>
          <w:tcPr>
            <w:tcW w:w="5970" w:type="dxa"/>
            <w:shd w:val="clear" w:color="auto" w:fill="FFEEAD"/>
          </w:tcPr>
          <w:p>
            <w:pPr>
              <w:numPr/>
              <w:rPr>
                <w:b/>
              </w:rPr>
            </w:pPr>
            <w:r>
              <w:rPr>
                <w:b/>
              </w:rPr>
              <w:t>支持功能</w:t>
            </w:r>
          </w:p>
        </w:tc>
      </w:tr>
      <w:tr>
        <w:trPr>
          <w:trHeight/>
        </w:trPr>
        <w:tc>
          <w:tcPr>
            <w:tcW w:w="9045" w:type="dxa"/>
            <w:gridSpan w:val="3"/>
          </w:tcPr>
          <w:p>
            <w:pPr>
              <w:numPr/>
              <w:rPr/>
            </w:pPr>
            <w:r>
              <w:rPr/>
              <w:t>国资委使用：</w:t>
            </w:r>
          </w:p>
        </w:tc>
      </w:tr>
      <w:tr>
        <w:trPr>
          <w:trHeight/>
        </w:trPr>
        <w:tc>
          <w:tcPr>
            <w:tcW w:w="690" w:type="dxa"/>
          </w:tcPr>
          <w:p>
            <w:pPr>
              <w:numPr/>
              <w:rPr/>
            </w:pPr>
            <w:r>
              <w:rPr/>
              <w:t>1</w:t>
            </w:r>
          </w:p>
        </w:tc>
        <w:tc>
          <w:tcPr>
            <w:tcW w:w="2385" w:type="dxa"/>
          </w:tcPr>
          <w:p>
            <w:pPr>
              <w:numPr/>
              <w:rPr/>
            </w:pPr>
            <w:r>
              <w:rPr/>
              <w:t>数据录入</w:t>
            </w:r>
          </w:p>
        </w:tc>
        <w:tc>
          <w:tcPr>
            <w:tcW w:w="5970" w:type="dxa"/>
          </w:tcPr>
          <w:p>
            <w:pPr>
              <w:numPr/>
              <w:rPr/>
            </w:pPr>
            <w:r>
              <w:rPr/>
              <w:t>企业上传数据查看、jio数据导入</w:t>
            </w:r>
          </w:p>
        </w:tc>
      </w:tr>
      <w:tr>
        <w:trPr>
          <w:trHeight/>
        </w:trPr>
        <w:tc>
          <w:tcPr>
            <w:tcW w:w="9045" w:type="dxa"/>
            <w:gridSpan w:val="3"/>
          </w:tcPr>
          <w:p>
            <w:pPr>
              <w:numPr/>
              <w:rPr/>
            </w:pPr>
            <w:r>
              <w:rPr/>
              <w:t>企业端使用：</w:t>
            </w:r>
          </w:p>
        </w:tc>
      </w:tr>
      <w:tr>
        <w:trPr>
          <w:trHeight/>
        </w:trPr>
        <w:tc>
          <w:tcPr>
            <w:tcW w:w="690" w:type="dxa"/>
          </w:tcPr>
          <w:p>
            <w:pPr>
              <w:numPr/>
              <w:rPr/>
            </w:pPr>
            <w:r>
              <w:rPr/>
              <w:t>1</w:t>
            </w:r>
          </w:p>
        </w:tc>
        <w:tc>
          <w:tcPr>
            <w:tcW w:w="2385" w:type="dxa"/>
          </w:tcPr>
          <w:p>
            <w:pPr>
              <w:numPr/>
              <w:rPr/>
            </w:pPr>
            <w:r>
              <w:rPr/>
              <w:t>jio映射方案管理</w:t>
            </w:r>
          </w:p>
        </w:tc>
        <w:tc>
          <w:tcPr>
            <w:tcW w:w="5970" w:type="dxa"/>
          </w:tcPr>
          <w:p>
            <w:pPr>
              <w:numPr/>
              <w:rPr/>
            </w:pPr>
            <w:r>
              <w:rPr/>
              <w:t>配置任务、指标、单位等映射关系</w:t>
            </w:r>
          </w:p>
        </w:tc>
      </w:tr>
      <w:tr>
        <w:trPr>
          <w:trHeight/>
        </w:trPr>
        <w:tc>
          <w:tcPr>
            <w:tcW w:w="690" w:type="dxa"/>
          </w:tcPr>
          <w:p>
            <w:pPr>
              <w:numPr/>
              <w:rPr/>
            </w:pPr>
            <w:r>
              <w:rPr/>
              <w:t>2</w:t>
            </w:r>
          </w:p>
        </w:tc>
        <w:tc>
          <w:tcPr>
            <w:tcW w:w="2385" w:type="dxa"/>
          </w:tcPr>
          <w:p>
            <w:pPr>
              <w:numPr/>
              <w:pBdr>
                <w:bottom/>
              </w:pBdr>
              <w:rPr/>
            </w:pPr>
            <w:r>
              <w:rPr/>
              <w:t>网报平台公式映射</w:t>
            </w:r>
          </w:p>
        </w:tc>
        <w:tc>
          <w:tcPr>
            <w:tcW w:w="5970" w:type="dxa"/>
          </w:tcPr>
          <w:p>
            <w:pPr>
              <w:numPr/>
              <w:pBdr>
                <w:bottom/>
              </w:pBdr>
              <w:rPr/>
            </w:pPr>
            <w:r>
              <w:rPr/>
              <w:t>配置公式的映射关系</w:t>
            </w:r>
          </w:p>
        </w:tc>
      </w:tr>
      <w:tr>
        <w:trPr>
          <w:trHeight/>
        </w:trPr>
        <w:tc>
          <w:tcPr>
            <w:tcW w:w="690" w:type="dxa"/>
          </w:tcPr>
          <w:p>
            <w:pPr>
              <w:numPr/>
              <w:rPr/>
            </w:pPr>
            <w:r>
              <w:rPr/>
              <w:t>3</w:t>
            </w:r>
          </w:p>
        </w:tc>
        <w:tc>
          <w:tcPr>
            <w:tcW w:w="2385" w:type="dxa"/>
          </w:tcPr>
          <w:p>
            <w:pPr>
              <w:numPr/>
              <w:pBdr>
                <w:bottom/>
              </w:pBdr>
              <w:rPr/>
            </w:pPr>
            <w:r>
              <w:rPr/>
              <w:t>jio数据导出</w:t>
            </w:r>
          </w:p>
        </w:tc>
        <w:tc>
          <w:tcPr>
            <w:tcW w:w="5970" w:type="dxa"/>
          </w:tcPr>
          <w:p>
            <w:pPr>
              <w:numPr/>
              <w:rPr/>
            </w:pPr>
            <w:r>
              <w:rPr/>
              <w:t>导出jio数据包</w:t>
            </w:r>
          </w:p>
        </w:tc>
      </w:tr>
    </w:tbl>
    <w:p>
      <w:pPr>
        <w:pStyle w:val="zesc86"/>
        <w:numPr>
          <w:ilvl w:val="2"/>
          <w:numId w:val="1"/>
        </w:numPr>
        <w:pBdr/>
        <w:rPr/>
      </w:pPr>
      <w:r>
        <w:rPr/>
        <w:t>操作指引</w:t>
      </w:r>
    </w:p>
    <w:p>
      <w:pPr>
        <w:pStyle w:val="1w583x"/>
        <w:numPr>
          <w:ilvl w:val="3"/>
          <w:numId w:val="1"/>
        </w:numPr>
        <w:rPr/>
      </w:pPr>
      <w:r>
        <w:rPr/>
        <w:t>网络联通-在线</w:t>
      </w:r>
    </w:p>
    <w:p>
      <w:pPr>
        <w:pStyle w:val="ablt93"/>
        <w:pBdr/>
        <w:ind w:left="0"/>
        <w:rPr/>
      </w:pPr>
      <w:r>
        <w:rPr/>
        <w:t>1）企业端：配置国资委服务地址信息及其他选项配置；</w:t>
      </w:r>
    </w:p>
    <w:p>
      <w:pPr>
        <w:pStyle w:val="ablt93"/>
        <w:pBdr/>
        <w:ind w:left="0"/>
        <w:rPr/>
      </w:pPr>
      <w:r>
        <w:rPr/>
        <w:drawing>
          <wp:inline distT="0" distB="0" distL="0" distR="0">
            <wp:extent cx="5760085" cy="2276217"/>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0"/>
                    <a:stretch/>
                  </pic:blipFill>
                  <pic:spPr>
                    <a:xfrm>
                      <a:off x="0" y="0"/>
                      <a:ext cx="5760085" cy="2276217"/>
                    </a:xfrm>
                    <a:prstGeom prst="rect">
                      <a:avLst/>
                    </a:prstGeom>
                  </pic:spPr>
                </pic:pic>
              </a:graphicData>
            </a:graphic>
          </wp:inline>
        </w:drawing>
      </w:r>
    </w:p>
    <w:p>
      <w:pPr>
        <w:pStyle w:val="ablt93"/>
        <w:pBdr/>
        <w:ind w:left="0"/>
        <w:rPr/>
      </w:pPr>
      <w:r>
        <w:rPr/>
        <w:t>2）企业端：新建jio映射方案；</w:t>
      </w:r>
    </w:p>
    <w:p>
      <w:pPr>
        <w:pStyle w:val="ablt93"/>
        <w:pBdr/>
        <w:ind w:left="0"/>
        <w:rPr/>
      </w:pPr>
      <w:r>
        <w:rPr/>
        <w:drawing>
          <wp:inline distT="0" distB="0" distL="0" distR="0">
            <wp:extent cx="5760085" cy="2341864"/>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1"/>
                    <a:stretch/>
                  </pic:blipFill>
                  <pic:spPr>
                    <a:xfrm>
                      <a:off x="0" y="0"/>
                      <a:ext cx="5760085" cy="2341864"/>
                    </a:xfrm>
                    <a:prstGeom prst="rect">
                      <a:avLst/>
                    </a:prstGeom>
                  </pic:spPr>
                </pic:pic>
              </a:graphicData>
            </a:graphic>
          </wp:inline>
        </w:drawing>
      </w:r>
    </w:p>
    <w:p>
      <w:pPr>
        <w:pStyle w:val="ablt93"/>
        <w:pBdr/>
        <w:ind w:left="0"/>
        <w:rPr>
          <w:i w:val="false"/>
          <w:strike w:val="false"/>
          <w:color w:val="000000"/>
          <w:u w:val="none"/>
        </w:rPr>
      </w:pPr>
      <w:r>
        <w:rPr/>
        <w:t>3）企业端：</w:t>
      </w:r>
      <w:r>
        <w:rPr>
          <w:i w:val="false"/>
          <w:strike w:val="false"/>
          <w:color w:val="000000"/>
          <w:u w:val="none"/>
        </w:rPr>
        <w:t>网报平台公式映射</w:t>
      </w:r>
    </w:p>
    <w:p>
      <w:pPr>
        <w:pStyle w:val="ablt93"/>
        <w:pBdr/>
        <w:ind w:left="0"/>
        <w:rPr/>
      </w:pPr>
      <w:r>
        <w:rPr/>
        <w:drawing>
          <wp:inline distT="0" distB="0" distL="0" distR="0">
            <wp:extent cx="5760085" cy="2402675"/>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2"/>
                    <a:stretch/>
                  </pic:blipFill>
                  <pic:spPr>
                    <a:xfrm>
                      <a:off x="0" y="0"/>
                      <a:ext cx="5760085" cy="2402675"/>
                    </a:xfrm>
                    <a:prstGeom prst="rect">
                      <a:avLst/>
                    </a:prstGeom>
                  </pic:spPr>
                </pic:pic>
              </a:graphicData>
            </a:graphic>
          </wp:inline>
        </w:drawing>
      </w:r>
    </w:p>
    <w:p>
      <w:pPr>
        <w:pStyle w:val="ablt93"/>
        <w:pBdr/>
        <w:ind w:left="0"/>
        <w:rPr>
          <w:i w:val="false"/>
          <w:strike w:val="false"/>
          <w:color w:val="000000"/>
          <w:u w:val="none"/>
        </w:rPr>
      </w:pPr>
      <w:r>
        <w:rPr/>
        <w:t>4）企业端：</w:t>
      </w:r>
      <w:r>
        <w:rPr>
          <w:i w:val="false"/>
          <w:strike w:val="false"/>
          <w:color w:val="000000"/>
          <w:u w:val="none"/>
        </w:rPr>
        <w:t>【数据录入】功能添加【数据上传】按钮，并启用权限；</w:t>
      </w:r>
    </w:p>
    <w:p>
      <w:pPr>
        <w:pStyle w:val="ablt93"/>
        <w:pBdr/>
        <w:ind w:left="0"/>
        <w:rPr/>
      </w:pPr>
      <w:r>
        <w:rPr/>
        <w:drawing>
          <wp:inline distT="0" distB="0" distL="0" distR="0">
            <wp:extent cx="5760085" cy="2966082"/>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3"/>
                    <a:stretch/>
                  </pic:blipFill>
                  <pic:spPr>
                    <a:xfrm>
                      <a:off x="0" y="0"/>
                      <a:ext cx="5760085" cy="2966082"/>
                    </a:xfrm>
                    <a:prstGeom prst="rect">
                      <a:avLst/>
                    </a:prstGeom>
                  </pic:spPr>
                </pic:pic>
              </a:graphicData>
            </a:graphic>
          </wp:inline>
        </w:drawing>
      </w:r>
    </w:p>
    <w:p>
      <w:pPr>
        <w:pStyle w:val="ablt93"/>
        <w:pBdr/>
        <w:ind w:left="0"/>
        <w:rPr/>
      </w:pPr>
      <w:r>
        <w:rPr/>
        <w:drawing>
          <wp:inline distT="0" distB="0" distL="0" distR="0">
            <wp:extent cx="5760085" cy="1712214"/>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24"/>
                    <a:stretch/>
                  </pic:blipFill>
                  <pic:spPr>
                    <a:xfrm>
                      <a:off x="0" y="0"/>
                      <a:ext cx="5760085" cy="1712214"/>
                    </a:xfrm>
                    <a:prstGeom prst="rect">
                      <a:avLst/>
                    </a:prstGeom>
                  </pic:spPr>
                </pic:pic>
              </a:graphicData>
            </a:graphic>
          </wp:inline>
        </w:drawing>
      </w:r>
    </w:p>
    <w:p>
      <w:pPr>
        <w:pStyle w:val="ablt93"/>
        <w:pBdr/>
        <w:ind w:left="0"/>
        <w:rPr/>
      </w:pPr>
      <w:r>
        <w:rPr/>
        <w:t>5）国资委端：新建服务连接；</w:t>
      </w:r>
    </w:p>
    <w:p>
      <w:pPr>
        <w:pStyle w:val="ablt93"/>
        <w:pBdr/>
        <w:ind w:left="0"/>
        <w:rPr/>
      </w:pPr>
      <w:r>
        <w:rPr/>
        <w:drawing>
          <wp:inline distT="0" distB="0" distL="0" distR="0">
            <wp:extent cx="5760085" cy="2811041"/>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25"/>
                    <a:stretch/>
                  </pic:blipFill>
                  <pic:spPr>
                    <a:xfrm>
                      <a:off x="0" y="0"/>
                      <a:ext cx="5760085" cy="2811041"/>
                    </a:xfrm>
                    <a:prstGeom prst="rect">
                      <a:avLst/>
                    </a:prstGeom>
                  </pic:spPr>
                </pic:pic>
              </a:graphicData>
            </a:graphic>
          </wp:inline>
        </w:drawing>
      </w:r>
    </w:p>
    <w:p>
      <w:pPr>
        <w:pStyle w:val="ablt93"/>
        <w:pBdr/>
        <w:ind w:left="0"/>
        <w:rPr>
          <w:i w:val="false"/>
          <w:strike w:val="false"/>
          <w:color w:val="000000"/>
          <w:u w:val="none"/>
        </w:rPr>
      </w:pPr>
      <w:r>
        <w:rPr/>
        <w:t>6）国资委端：</w:t>
      </w:r>
      <w:r>
        <w:rPr>
          <w:i w:val="false"/>
          <w:strike w:val="false"/>
          <w:color w:val="000000"/>
          <w:u w:val="none"/>
        </w:rPr>
        <w:t>使用 jqr 端上传业务方案的 jio 参数导入生成指标映射方案， 修改名称保证与 jqr 端的 jio 映射方案的名称保持一致。配置与单机版的指标映射、单位映 射和公式映射</w:t>
      </w:r>
    </w:p>
    <w:p>
      <w:pPr>
        <w:pStyle w:val="ablt93"/>
        <w:pBdr/>
        <w:ind w:left="0"/>
        <w:rPr/>
      </w:pPr>
      <w:r>
        <w:rPr/>
        <w:drawing>
          <wp:inline distT="0" distB="0" distL="0" distR="0">
            <wp:extent cx="5760085" cy="2653980"/>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26"/>
                    <a:stretch/>
                  </pic:blipFill>
                  <pic:spPr>
                    <a:xfrm>
                      <a:off x="0" y="0"/>
                      <a:ext cx="5760085" cy="2653980"/>
                    </a:xfrm>
                    <a:prstGeom prst="rect">
                      <a:avLst/>
                    </a:prstGeom>
                  </pic:spPr>
                </pic:pic>
              </a:graphicData>
            </a:graphic>
          </wp:inline>
        </w:drawing>
      </w:r>
    </w:p>
    <w:p>
      <w:pPr>
        <w:pStyle w:val="ablt93"/>
        <w:pBdr/>
        <w:ind w:left="0"/>
        <w:rPr/>
      </w:pPr>
      <w:r>
        <w:rPr/>
        <w:t>7）企业端：进行数据上传；</w:t>
      </w:r>
    </w:p>
    <w:p>
      <w:pPr>
        <w:pStyle w:val="ablt93"/>
        <w:pBdr/>
        <w:ind w:left="0"/>
        <w:rPr/>
      </w:pPr>
      <w:r>
        <w:rPr/>
        <w:drawing>
          <wp:inline distT="0" distB="0" distL="0" distR="0">
            <wp:extent cx="5760085" cy="2644937"/>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27"/>
                    <a:stretch/>
                  </pic:blipFill>
                  <pic:spPr>
                    <a:xfrm>
                      <a:off x="0" y="0"/>
                      <a:ext cx="5760085" cy="2644937"/>
                    </a:xfrm>
                    <a:prstGeom prst="rect">
                      <a:avLst/>
                    </a:prstGeom>
                  </pic:spPr>
                </pic:pic>
              </a:graphicData>
            </a:graphic>
          </wp:inline>
        </w:drawing>
      </w:r>
    </w:p>
    <w:p>
      <w:pPr>
        <w:pStyle w:val="ablt93"/>
        <w:pBdr/>
        <w:ind w:left="0"/>
        <w:rPr/>
      </w:pPr>
      <w:r>
        <w:rPr/>
        <w:t>8）国资委端：上传数据管理中可查看上传数据装入记录；</w:t>
      </w:r>
    </w:p>
    <w:p>
      <w:pPr>
        <w:pStyle w:val="ablt93"/>
        <w:pBdr/>
        <w:ind w:left="0"/>
        <w:rPr/>
      </w:pPr>
      <w:r>
        <w:rPr/>
        <w:drawing>
          <wp:inline distT="0" distB="0" distL="0" distR="0">
            <wp:extent cx="5760085" cy="2811041"/>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28"/>
                    <a:stretch/>
                  </pic:blipFill>
                  <pic:spPr>
                    <a:xfrm>
                      <a:off x="0" y="0"/>
                      <a:ext cx="5760085" cy="2811041"/>
                    </a:xfrm>
                    <a:prstGeom prst="rect">
                      <a:avLst/>
                    </a:prstGeom>
                  </pic:spPr>
                </pic:pic>
              </a:graphicData>
            </a:graphic>
          </wp:inline>
        </w:drawing>
      </w:r>
    </w:p>
    <w:p>
      <w:pPr>
        <w:pStyle w:val="ablt93"/>
        <w:pBdr/>
        <w:ind w:left="0"/>
        <w:rPr>
          <w:b/>
        </w:rPr>
      </w:pPr>
      <w:r>
        <w:rPr>
          <w:b/>
        </w:rPr>
        <w:t>注：操作手册详情请查看</w:t>
      </w:r>
      <w:r>
        <w:rPr>
          <w:rStyle w:val="7ho2ix"/>
        </w:rPr>
        <w:fldChar w:fldCharType="begin"/>
      </w:r>
      <w:r>
        <w:rPr>
          <w:rStyle w:val="7ho2ix"/>
        </w:rPr>
        <w:instrText xml:space="preserve">HYPERLINK https://drive.weixin.qq.com/s?k=AOQAtgfLAA8S3DikT4AM0AwgbJAAc docLink \tdfu https://drive.weixin.qq.com/s?k=AOQAtgfLAA8S3DikT4AM0AwgbJAAc \tdfid i.1970325101983460.1688849990927053_f.686139529H0zb \tdfe 1021 \tdfn %u7B2C5%u90E8%u5206%20%20%u6570%u636E%u4EA4%u6362%u4E2D%u5FC3%u3001%u6570%u636E%u4E0A%u4F20.pdf \tdft Wedrive \tdlt inline \tdlf FromUploadFile </w:instrText>
      </w:r>
      <w:r>
        <w:rPr>
          <w:rStyle w:val="7ho2ix"/>
        </w:rPr>
        <w:fldChar w:fldCharType="separate"/>
      </w:r>
      <w:r>
        <w:rPr>
          <w:rStyle w:val="7ho2ix"/>
        </w:rPr>
        <w:t>第5部分  数据交换中心、数据上传.pdf</w:t>
      </w:r>
      <w:r>
        <w:rPr>
          <w:rStyle w:val="7ho2ix"/>
        </w:rPr>
        <w:fldChar w:fldCharType="end"/>
      </w:r>
    </w:p>
    <w:p>
      <w:pPr>
        <w:pStyle w:val="1w583x"/>
        <w:numPr>
          <w:ilvl w:val="3"/>
          <w:numId w:val="1"/>
        </w:numPr>
        <w:pBdr/>
        <w:rPr/>
      </w:pPr>
      <w:r>
        <w:rPr/>
        <w:t>网络不通-离线</w:t>
      </w:r>
    </w:p>
    <w:p>
      <w:pPr>
        <w:pStyle w:val="ablt93"/>
        <w:numPr/>
        <w:pBdr/>
        <w:ind w:left="0"/>
        <w:rPr/>
      </w:pPr>
      <w:r>
        <w:rPr/>
        <w:t>1）企业端：新建jio映射方案；</w:t>
      </w:r>
    </w:p>
    <w:p>
      <w:pPr>
        <w:pStyle w:val="ablt93"/>
        <w:numPr/>
        <w:pBdr/>
        <w:ind w:left="0"/>
        <w:rPr/>
      </w:pPr>
      <w:r>
        <w:rPr/>
        <w:drawing>
          <wp:inline distT="0" distB="0" distL="0" distR="0">
            <wp:extent cx="5760085" cy="2341864"/>
            <wp:effectExtent l="0" t="0" r="0" b="0"/>
            <wp:docPr id="77" name="picture" descr="descript"/>
            <wp:cNvGraphicFramePr>
              <a:graphicFrameLocks/>
            </wp:cNvGraphicFramePr>
            <a:graphic>
              <a:graphicData uri="http://schemas.openxmlformats.org/drawingml/2006/picture">
                <pic:pic>
                  <pic:nvPicPr>
                    <pic:cNvPr id="78" name="picture" descr="descript"/>
                    <pic:cNvPicPr/>
                  </pic:nvPicPr>
                  <pic:blipFill rotWithShape="true">
                    <a:blip r:embed="rId21"/>
                    <a:srcRect/>
                    <a:stretch/>
                  </pic:blipFill>
                  <pic:spPr>
                    <a:xfrm>
                      <a:off x="0" y="0"/>
                      <a:ext cx="5760085" cy="2341864"/>
                    </a:xfrm>
                    <a:prstGeom prst="rect">
                      <a:avLst/>
                    </a:prstGeom>
                    <a:solidFill/>
                    <a:ln/>
                  </pic:spPr>
                </pic:pic>
              </a:graphicData>
            </a:graphic>
          </wp:inline>
        </w:drawing>
      </w:r>
    </w:p>
    <w:p>
      <w:pPr>
        <w:pStyle w:val="ablt93"/>
        <w:numPr/>
        <w:pBdr/>
        <w:ind w:left="0"/>
        <w:rPr>
          <w:i w:val="false"/>
          <w:strike w:val="false"/>
          <w:color w:val="000000"/>
          <w:u w:val="none"/>
        </w:rPr>
      </w:pPr>
      <w:r>
        <w:rPr/>
        <w:t>2）企业端：</w:t>
      </w:r>
      <w:r>
        <w:rPr>
          <w:i w:val="false"/>
          <w:strike w:val="false"/>
          <w:color w:val="000000"/>
          <w:u w:val="none"/>
        </w:rPr>
        <w:t>网报平台公式映射（暂不支持出错说明同步）</w:t>
      </w:r>
    </w:p>
    <w:p>
      <w:pPr>
        <w:pStyle w:val="ablt93"/>
        <w:numPr/>
        <w:pBdr/>
        <w:ind w:left="0"/>
        <w:rPr/>
      </w:pPr>
      <w:r>
        <w:rPr/>
        <w:drawing>
          <wp:inline distT="0" distB="0" distL="0" distR="0">
            <wp:extent cx="5760085" cy="2402675"/>
            <wp:effectExtent l="0" t="0" r="0" b="0"/>
            <wp:docPr id="80" name="picture" descr="descript"/>
            <wp:cNvGraphicFramePr>
              <a:graphicFrameLocks/>
            </wp:cNvGraphicFramePr>
            <a:graphic>
              <a:graphicData uri="http://schemas.openxmlformats.org/drawingml/2006/picture">
                <pic:pic>
                  <pic:nvPicPr>
                    <pic:cNvPr id="81" name="picture" descr="descript"/>
                    <pic:cNvPicPr/>
                  </pic:nvPicPr>
                  <pic:blipFill rotWithShape="true">
                    <a:blip r:embed="rId22"/>
                    <a:srcRect/>
                    <a:stretch/>
                  </pic:blipFill>
                  <pic:spPr>
                    <a:xfrm>
                      <a:off x="0" y="0"/>
                      <a:ext cx="5760085" cy="2402675"/>
                    </a:xfrm>
                    <a:prstGeom prst="rect">
                      <a:avLst/>
                    </a:prstGeom>
                    <a:solidFill/>
                    <a:ln/>
                  </pic:spPr>
                </pic:pic>
              </a:graphicData>
            </a:graphic>
          </wp:inline>
        </w:drawing>
      </w:r>
    </w:p>
    <w:p>
      <w:pPr>
        <w:pStyle w:val="ablt93"/>
        <w:numPr/>
        <w:pBdr/>
        <w:ind w:left="0"/>
        <w:rPr>
          <w:i w:val="false"/>
          <w:strike w:val="false"/>
          <w:color w:val="000000"/>
          <w:u w:val="none"/>
        </w:rPr>
      </w:pPr>
      <w:r>
        <w:rPr/>
        <w:t>3）企业端：</w:t>
      </w:r>
      <w:r>
        <w:rPr>
          <w:i w:val="false"/>
          <w:strike w:val="false"/>
          <w:color w:val="000000"/>
          <w:u w:val="none"/>
        </w:rPr>
        <w:t>【数据录入】功能添加【数据上传】按钮，并启用权限；</w:t>
      </w:r>
    </w:p>
    <w:p>
      <w:pPr>
        <w:pStyle w:val="ablt93"/>
        <w:numPr/>
        <w:pBdr/>
        <w:ind w:left="0"/>
        <w:rPr/>
      </w:pPr>
      <w:r>
        <w:rPr/>
        <w:drawing>
          <wp:inline distT="0" distB="0" distL="0" distR="0">
            <wp:extent cx="5760085" cy="2966082"/>
            <wp:effectExtent l="0" t="0" r="0" b="0"/>
            <wp:docPr id="83" name="picture" descr="descript"/>
            <wp:cNvGraphicFramePr>
              <a:graphicFrameLocks/>
            </wp:cNvGraphicFramePr>
            <a:graphic>
              <a:graphicData uri="http://schemas.openxmlformats.org/drawingml/2006/picture">
                <pic:pic>
                  <pic:nvPicPr>
                    <pic:cNvPr id="84" name="picture" descr="descript"/>
                    <pic:cNvPicPr/>
                  </pic:nvPicPr>
                  <pic:blipFill rotWithShape="true">
                    <a:blip r:embed="rId23"/>
                    <a:srcRect/>
                    <a:stretch/>
                  </pic:blipFill>
                  <pic:spPr>
                    <a:xfrm>
                      <a:off x="0" y="0"/>
                      <a:ext cx="5760085" cy="2966082"/>
                    </a:xfrm>
                    <a:prstGeom prst="rect">
                      <a:avLst/>
                    </a:prstGeom>
                    <a:solidFill/>
                    <a:ln/>
                  </pic:spPr>
                </pic:pic>
              </a:graphicData>
            </a:graphic>
          </wp:inline>
        </w:drawing>
      </w:r>
    </w:p>
    <w:p>
      <w:pPr>
        <w:pStyle w:val="ablt93"/>
        <w:numPr/>
        <w:pBdr>
          <w:bottom/>
        </w:pBdr>
        <w:ind w:left="0"/>
        <w:rPr/>
      </w:pPr>
      <w:r>
        <w:rPr/>
        <w:drawing>
          <wp:inline distT="0" distB="0" distL="0" distR="0">
            <wp:extent cx="5760085" cy="1712214"/>
            <wp:effectExtent l="0" t="0" r="0" b="0"/>
            <wp:docPr id="86" name="picture" descr="descript"/>
            <wp:cNvGraphicFramePr>
              <a:graphicFrameLocks/>
            </wp:cNvGraphicFramePr>
            <a:graphic>
              <a:graphicData uri="http://schemas.openxmlformats.org/drawingml/2006/picture">
                <pic:pic>
                  <pic:nvPicPr>
                    <pic:cNvPr id="87" name="picture" descr="descript"/>
                    <pic:cNvPicPr/>
                  </pic:nvPicPr>
                  <pic:blipFill rotWithShape="true">
                    <a:blip r:embed="rId24"/>
                    <a:srcRect/>
                    <a:stretch/>
                  </pic:blipFill>
                  <pic:spPr>
                    <a:xfrm>
                      <a:off x="0" y="0"/>
                      <a:ext cx="5760085" cy="1712214"/>
                    </a:xfrm>
                    <a:prstGeom prst="rect">
                      <a:avLst/>
                    </a:prstGeom>
                    <a:solidFill/>
                    <a:ln/>
                  </pic:spPr>
                </pic:pic>
              </a:graphicData>
            </a:graphic>
          </wp:inline>
        </w:drawing>
      </w:r>
    </w:p>
    <w:p>
      <w:pPr>
        <w:pStyle w:val="ablt93"/>
        <w:numPr/>
        <w:pBdr/>
        <w:ind w:left="0"/>
        <w:rPr>
          <w:i w:val="false"/>
          <w:strike w:val="false"/>
          <w:color w:val="000000"/>
          <w:u w:val="none"/>
        </w:rPr>
      </w:pPr>
      <w:r>
        <w:rPr/>
        <w:t>4）国资委端：</w:t>
      </w:r>
      <w:r>
        <w:rPr>
          <w:i w:val="false"/>
          <w:strike w:val="false"/>
          <w:color w:val="000000"/>
          <w:u w:val="none"/>
        </w:rPr>
        <w:t>使用 jqr 端上传业务方案的 jio 参数导入生成指标映射方案，配置与单机版的指标映射、单位映 射和公式映射</w:t>
      </w:r>
    </w:p>
    <w:p>
      <w:pPr>
        <w:pStyle w:val="ablt93"/>
        <w:numPr/>
        <w:pBdr/>
        <w:ind w:left="0"/>
        <w:rPr/>
      </w:pPr>
      <w:r>
        <w:rPr/>
        <w:drawing>
          <wp:inline distT="0" distB="0" distL="0" distR="0">
            <wp:extent cx="5760085" cy="2653980"/>
            <wp:effectExtent l="0" t="0" r="0" b="0"/>
            <wp:docPr id="89" name="picture" descr="descript"/>
            <wp:cNvGraphicFramePr>
              <a:graphicFrameLocks/>
            </wp:cNvGraphicFramePr>
            <a:graphic>
              <a:graphicData uri="http://schemas.openxmlformats.org/drawingml/2006/picture">
                <pic:pic>
                  <pic:nvPicPr>
                    <pic:cNvPr id="90" name="picture" descr="descript"/>
                    <pic:cNvPicPr/>
                  </pic:nvPicPr>
                  <pic:blipFill rotWithShape="true">
                    <a:blip r:embed="rId26"/>
                    <a:srcRect/>
                    <a:stretch/>
                  </pic:blipFill>
                  <pic:spPr>
                    <a:xfrm>
                      <a:off x="0" y="0"/>
                      <a:ext cx="5760085" cy="2653980"/>
                    </a:xfrm>
                    <a:prstGeom prst="rect">
                      <a:avLst/>
                    </a:prstGeom>
                    <a:solidFill/>
                    <a:ln/>
                  </pic:spPr>
                </pic:pic>
              </a:graphicData>
            </a:graphic>
          </wp:inline>
        </w:drawing>
      </w:r>
    </w:p>
    <w:p>
      <w:pPr>
        <w:pStyle w:val="ablt93"/>
        <w:pBdr/>
        <w:rPr/>
      </w:pPr>
      <w:r>
        <w:rPr/>
        <w:t>5）企业端：导出jio文件</w:t>
      </w:r>
    </w:p>
    <w:p>
      <w:pPr>
        <w:pStyle w:val="ablt93"/>
        <w:pBdr/>
        <w:rPr/>
      </w:pPr>
      <w:r>
        <w:rPr/>
        <w:drawing>
          <wp:inline distT="0" distB="0" distL="0" distR="0">
            <wp:extent cx="5760085" cy="2786020"/>
            <wp:effectExtent l="0" t="0" r="0" b="0"/>
            <wp:docPr id="92" name="picture" descr="descript"/>
            <wp:cNvGraphicFramePr/>
            <a:graphic>
              <a:graphicData uri="http://schemas.openxmlformats.org/drawingml/2006/picture">
                <pic:pic>
                  <pic:nvPicPr>
                    <pic:cNvPr id="93" name="picture" descr="descript"/>
                    <pic:cNvPicPr/>
                  </pic:nvPicPr>
                  <pic:blipFill rotWithShape="true">
                    <a:blip r:embed="rId29"/>
                    <a:stretch/>
                  </pic:blipFill>
                  <pic:spPr>
                    <a:xfrm>
                      <a:off x="0" y="0"/>
                      <a:ext cx="5760085" cy="2786020"/>
                    </a:xfrm>
                    <a:prstGeom prst="rect">
                      <a:avLst/>
                    </a:prstGeom>
                  </pic:spPr>
                </pic:pic>
              </a:graphicData>
            </a:graphic>
          </wp:inline>
        </w:drawing>
      </w:r>
    </w:p>
    <w:p>
      <w:pPr>
        <w:pStyle w:val="ablt93"/>
        <w:pBdr/>
        <w:rPr/>
      </w:pPr>
      <w:r>
        <w:rPr/>
        <w:t>6）国资委：jio文件导入</w:t>
      </w:r>
    </w:p>
    <w:p>
      <w:pPr>
        <w:pStyle w:val="ablt93"/>
        <w:rPr/>
      </w:pPr>
      <w:r>
        <w:rPr/>
        <w:drawing>
          <wp:inline distT="0" distB="0" distL="0" distR="0">
            <wp:extent cx="5760085" cy="1520257"/>
            <wp:effectExtent l="0" t="0" r="0" b="0"/>
            <wp:docPr id="95" name="picture" descr="descript"/>
            <wp:cNvGraphicFramePr/>
            <a:graphic>
              <a:graphicData uri="http://schemas.openxmlformats.org/drawingml/2006/picture">
                <pic:pic>
                  <pic:nvPicPr>
                    <pic:cNvPr id="96" name="picture" descr="descript"/>
                    <pic:cNvPicPr/>
                  </pic:nvPicPr>
                  <pic:blipFill rotWithShape="true">
                    <a:blip r:embed="rId30"/>
                    <a:stretch/>
                  </pic:blipFill>
                  <pic:spPr>
                    <a:xfrm>
                      <a:off x="0" y="0"/>
                      <a:ext cx="5760085" cy="1520257"/>
                    </a:xfrm>
                    <a:prstGeom prst="rect">
                      <a:avLst/>
                    </a:prstGeom>
                  </pic:spPr>
                </pic:pic>
              </a:graphicData>
            </a:graphic>
          </wp:inline>
        </w:drawing>
      </w:r>
    </w:p>
    <w:p>
      <w:pPr>
        <w:pStyle w:val="rkcc7u"/>
        <w:numPr>
          <w:ilvl w:val="1"/>
          <w:numId w:val="1"/>
        </w:numPr>
        <w:pBdr/>
        <w:rPr/>
      </w:pPr>
      <w:r>
        <w:rPr/>
        <w:t>场景三：企业（CI或其他久其产品）与国资委（女娲）二级部署</w:t>
      </w:r>
    </w:p>
    <w:p>
      <w:pPr>
        <w:pStyle w:val="zesc86"/>
        <w:numPr>
          <w:ilvl w:val="2"/>
          <w:numId w:val="1"/>
        </w:numPr>
        <w:pBdr/>
        <w:rPr/>
      </w:pPr>
      <w:r>
        <w:rPr/>
        <w:t>场景背景</w:t>
      </w:r>
    </w:p>
    <w:p>
      <w:pPr>
        <w:pStyle w:val="ablt93"/>
        <w:numPr/>
        <w:pBdr>
          <w:bottom/>
        </w:pBdr>
        <w:ind w:left="0" w:firstLineChars="200"/>
        <w:rPr/>
      </w:pPr>
      <w:r>
        <w:rPr/>
        <w:t>隶属于国资委管辖的央企以及部分国有企业，每年需要定期向国资委报送月报、季报、年报等不同报表数据。国资委与下级企业单独部署服务和数据库，且国资委使用久其女娲平台合并报表系统，企业使用CI或者久其其他报表。</w:t>
      </w:r>
    </w:p>
    <w:p>
      <w:pPr>
        <w:pStyle w:val="zesc86"/>
        <w:numPr>
          <w:ilvl w:val="2"/>
          <w:numId w:val="1"/>
        </w:numPr>
        <w:pBdr/>
        <w:rPr/>
      </w:pPr>
      <w:r>
        <w:rPr/>
        <w:t>实施方案</w:t>
      </w:r>
    </w:p>
    <w:p>
      <w:pPr>
        <w:pStyle w:val="ablt93"/>
        <w:numPr>
          <w:ilvl w:val="0"/>
          <w:numId w:val="18"/>
        </w:numPr>
        <w:pBdr/>
        <w:rPr/>
      </w:pPr>
      <w:r>
        <w:rPr/>
        <w:t>在线</w:t>
      </w:r>
    </w:p>
    <w:p>
      <w:pPr>
        <w:pStyle w:val="ablt93"/>
        <w:pBdr/>
        <w:ind w:left="336"/>
        <w:rPr/>
      </w:pPr>
      <w:r>
        <w:rPr/>
        <w:t>不支持在线的数据上传；</w:t>
      </w:r>
    </w:p>
    <w:p>
      <w:pPr>
        <w:pStyle w:val="ablt93"/>
        <w:numPr>
          <w:ilvl w:val="0"/>
          <w:numId w:val="18"/>
        </w:numPr>
        <w:pBdr/>
        <w:rPr/>
      </w:pPr>
      <w:r>
        <w:rPr/>
        <w:t>离线</w:t>
      </w:r>
    </w:p>
    <w:p>
      <w:pPr>
        <w:pStyle w:val="ablt93"/>
        <w:pBdr>
          <w:bottom/>
        </w:pBdr>
        <w:ind w:left="336"/>
        <w:rPr/>
      </w:pPr>
      <w:r>
        <w:rPr/>
        <w:t>无需创建连接，若产品支持，使用jio导入导出</w:t>
      </w:r>
    </w:p>
    <w:p>
      <w:pPr>
        <w:pStyle w:val="rkcc7u"/>
        <w:numPr>
          <w:ilvl w:val="1"/>
          <w:numId w:val="1"/>
        </w:numPr>
        <w:pBdr/>
        <w:rPr/>
      </w:pPr>
      <w:r>
        <w:rPr/>
        <w:t>场景四：企业（其他厂商）与国资委（女娲）二级部署</w:t>
      </w:r>
    </w:p>
    <w:p>
      <w:pPr>
        <w:pStyle w:val="zesc86"/>
        <w:numPr>
          <w:ilvl w:val="2"/>
          <w:numId w:val="1"/>
        </w:numPr>
        <w:pBdr/>
        <w:rPr/>
      </w:pPr>
      <w:r>
        <w:rPr/>
        <w:t>需求背景</w:t>
      </w:r>
    </w:p>
    <w:p>
      <w:pPr>
        <w:pStyle w:val="ablt93"/>
        <w:numPr/>
        <w:pBdr>
          <w:bottom/>
        </w:pBdr>
        <w:ind w:left="0" w:firstLineChars="200"/>
        <w:rPr/>
      </w:pPr>
      <w:r>
        <w:rPr/>
        <w:t>隶属于国资委管辖的央企以及部分国有企业，每年需要定期向国资委报送月报、季报、年报等不同报表数据。国资委与下级企业单独部署服务和数据库，且国资委使用久其女娲平台合并报表系统，企业使用其他友商的报表系统。</w:t>
      </w:r>
    </w:p>
    <w:p>
      <w:pPr>
        <w:pStyle w:val="zesc86"/>
        <w:numPr>
          <w:ilvl w:val="2"/>
          <w:numId w:val="1"/>
        </w:numPr>
        <w:pBdr/>
        <w:rPr/>
      </w:pPr>
      <w:r>
        <w:rPr/>
        <w:t>实施方案</w:t>
      </w:r>
    </w:p>
    <w:p>
      <w:pPr>
        <w:pStyle w:val="ablt93"/>
        <w:numPr>
          <w:ilvl w:val="0"/>
          <w:numId w:val="19"/>
        </w:numPr>
        <w:pBdr/>
        <w:ind/>
        <w:rPr/>
      </w:pPr>
      <w:r>
        <w:rPr/>
        <w:t>在线</w:t>
      </w:r>
    </w:p>
    <w:p>
      <w:pPr>
        <w:pStyle w:val="ablt93"/>
        <w:numPr/>
        <w:pBdr/>
        <w:ind w:left="336"/>
        <w:rPr/>
      </w:pPr>
      <w:r>
        <w:rPr/>
        <w:t>不支持在线的数据上传；</w:t>
      </w:r>
    </w:p>
    <w:p>
      <w:pPr>
        <w:pStyle w:val="ablt93"/>
        <w:numPr>
          <w:ilvl w:val="0"/>
          <w:numId w:val="19"/>
        </w:numPr>
        <w:pBdr/>
        <w:ind/>
        <w:rPr/>
      </w:pPr>
      <w:r>
        <w:rPr/>
        <w:t>离线</w:t>
      </w:r>
    </w:p>
    <w:p>
      <w:pPr>
        <w:pStyle w:val="ablt93"/>
        <w:numPr/>
        <w:pBdr>
          <w:bottom/>
        </w:pBdr>
        <w:ind w:left="336"/>
        <w:rPr/>
      </w:pPr>
      <w:r>
        <w:rPr/>
        <w:t>无需创建连接，若产品支持，使用jio导入导出</w:t>
      </w:r>
    </w:p>
    <w:p>
      <w:pPr>
        <w:pStyle w:val="gyd6uq"/>
        <w:numPr>
          <w:ilvl w:val="0"/>
          <w:numId w:val="1"/>
        </w:numPr>
        <w:rPr/>
      </w:pPr>
      <w:r>
        <w:rPr/>
        <w:t>集团-二级单位</w:t>
      </w:r>
    </w:p>
    <w:p>
      <w:pPr>
        <w:pStyle w:val="rkcc7u"/>
        <w:numPr>
          <w:ilvl w:val="1"/>
          <w:numId w:val="1"/>
        </w:numPr>
        <w:pBdr/>
        <w:rPr/>
      </w:pPr>
      <w:r>
        <w:rPr/>
        <w:t>场景五：二级单位（女娲）与集团（女娲）二级部署</w:t>
      </w:r>
    </w:p>
    <w:p>
      <w:pPr>
        <w:pStyle w:val="zesc86"/>
        <w:numPr>
          <w:ilvl w:val="2"/>
          <w:numId w:val="1"/>
        </w:numPr>
        <w:pBdr/>
        <w:rPr/>
      </w:pPr>
      <w:r>
        <w:rPr/>
        <w:t>需求背景</w:t>
      </w:r>
    </w:p>
    <w:p>
      <w:pPr>
        <w:pStyle w:val="ablt93"/>
        <w:pBdr/>
        <w:ind/>
        <w:rPr/>
      </w:pPr>
      <w:r>
        <w:rPr/>
        <w:t>集团内部遵循管理规定，对于集团所有下级经营数据、财务情况进行统一管理，需汇总至集团，形成整个集团的财务数据，但是各二级单位与集团分开部署，互相独立，则需要将二级的数据跨服务上传至集团。</w:t>
      </w:r>
    </w:p>
    <w:p>
      <w:pPr>
        <w:pStyle w:val="zesc86"/>
        <w:numPr>
          <w:ilvl w:val="2"/>
          <w:numId w:val="1"/>
        </w:numPr>
        <w:pBdr/>
        <w:rPr/>
      </w:pPr>
      <w:r>
        <w:rPr/>
        <w:t>支持范围</w:t>
      </w:r>
    </w:p>
    <w:p>
      <w:pPr>
        <w:pStyle w:val="ablt93"/>
        <w:pBdr/>
        <w:rPr/>
      </w:pPr>
      <w:r>
        <w:rPr/>
        <w:t>参数下发：包含任务参数、公式方案、合并体系、基础组织、合并单位、基础数据、折算体系</w:t>
      </w:r>
    </w:p>
    <w:p>
      <w:pPr>
        <w:pStyle w:val="ablt93"/>
        <w:pBdr/>
        <w:rPr/>
      </w:pPr>
      <w:r>
        <w:rPr/>
        <w:t>数据上传：包括报表数据、抵销分录、台账数据、抵销初始、折算汇率</w:t>
      </w:r>
    </w:p>
    <w:p>
      <w:pPr>
        <w:pStyle w:val="zesc86"/>
        <w:numPr>
          <w:ilvl w:val="2"/>
          <w:numId w:val="1"/>
        </w:numPr>
        <w:pBdr/>
        <w:rPr/>
      </w:pPr>
      <w:r>
        <w:rPr/>
        <w:t>使用前提</w:t>
      </w:r>
    </w:p>
    <w:p>
      <w:pPr>
        <w:pStyle w:val="ablt93"/>
        <w:pBdr/>
        <w:rPr>
          <w:color w:val="FF0000"/>
        </w:rPr>
      </w:pPr>
      <w:r>
        <w:rPr/>
        <w:t>1）若使用参数同步功能将集团单位同步至二级单位，则集团需统一一套单位代码，不允许集团与二级单位同一单位代码不一致；若集团和二级单位各自维护单位信息，则允许单位代码不一致，在下级维护单位映射即可实现数据上传</w:t>
      </w:r>
      <w:r>
        <w:rPr>
          <w:color w:val="FF0000"/>
        </w:rPr>
        <w:t>（抵销分录、台账数据等合并数据暂不支持单位映射，后续支持）</w:t>
      </w:r>
    </w:p>
    <w:p>
      <w:pPr>
        <w:pStyle w:val="ablt93"/>
        <w:pBdr/>
        <w:rPr/>
      </w:pPr>
      <w:r>
        <w:rPr/>
        <w:t>2）集团与二级单位都部署女娲平台合并报表系统V6.9.0及以上版本；</w:t>
      </w:r>
    </w:p>
    <w:p>
      <w:pPr>
        <w:pStyle w:val="ablt93"/>
        <w:numPr/>
        <w:pBdr/>
        <w:rPr/>
      </w:pPr>
      <w:r>
        <w:rPr/>
        <w:t>3）用于数据上传的任务参数需由集团通过二级部署模块功能统一下发，不能由二级单位各自创建；</w:t>
      </w:r>
    </w:p>
    <w:p>
      <w:pPr>
        <w:pStyle w:val="ablt93"/>
        <w:numPr/>
        <w:pBdr>
          <w:bottom/>
        </w:pBdr>
        <w:rPr/>
      </w:pPr>
      <w:r>
        <w:rPr/>
        <w:t>4）下级与集团同一任务使用同一组织机构类型；</w:t>
      </w:r>
    </w:p>
    <w:p>
      <w:pPr>
        <w:pStyle w:val="ablt93"/>
        <w:numPr/>
        <w:pBdr>
          <w:bottom/>
        </w:pBdr>
        <w:rPr/>
      </w:pPr>
      <w:r>
        <w:rPr/>
        <w:t>5）对于报表参数，下级可在集团下发的参数基础上新增私有参数，比如公式、报表或者单位，但不可修改集团下发的参数；对于合并参数，集团下发的参数可修改删除，但可能会导致数据上传时报错，不建议随意更改；</w:t>
      </w:r>
    </w:p>
    <w:p>
      <w:pPr>
        <w:pStyle w:val="zesc86"/>
        <w:numPr>
          <w:ilvl w:val="2"/>
          <w:numId w:val="1"/>
        </w:numPr>
        <w:pBdr/>
        <w:rPr/>
      </w:pPr>
      <w:r>
        <w:rPr/>
        <w:t>实施方案</w:t>
      </w:r>
    </w:p>
    <w:p>
      <w:pPr>
        <w:pStyle w:val="ablt93"/>
        <w:numPr>
          <w:ilvl w:val="0"/>
          <w:numId w:val="20"/>
        </w:numPr>
        <w:pBdr/>
        <w:rPr>
          <w:b/>
        </w:rPr>
      </w:pPr>
      <w:r>
        <w:rPr>
          <w:b/>
        </w:rPr>
        <w:t>创建连接：</w:t>
      </w:r>
    </w:p>
    <w:p>
      <w:pPr>
        <w:pStyle w:val="ablt93"/>
        <w:numPr>
          <w:ilvl w:val="0"/>
          <w:numId w:val="21"/>
        </w:numPr>
        <w:pBdr/>
        <w:ind/>
        <w:rPr/>
      </w:pPr>
      <w:r>
        <w:rPr/>
        <w:t>网络联通的情况下，由企业端注册国资委和企业的服务信息，并将企业信息同步至国资委，国资委无需维护，只需设置是否启用；</w:t>
      </w:r>
    </w:p>
    <w:p>
      <w:pPr>
        <w:pStyle w:val="ablt93"/>
        <w:numPr>
          <w:ilvl w:val="0"/>
          <w:numId w:val="21"/>
        </w:numPr>
        <w:pBdr/>
        <w:ind/>
        <w:rPr/>
      </w:pPr>
      <w:r>
        <w:rPr/>
        <w:t>网络不通的情况下，企业端和国资委端分别维护信息，用于数据上传时获取上报状态更新单位的信息；</w:t>
      </w:r>
    </w:p>
    <w:p>
      <w:pPr>
        <w:pStyle w:val="ablt93"/>
        <w:numPr>
          <w:ilvl w:val="0"/>
          <w:numId w:val="22"/>
        </w:numPr>
        <w:pBdr>
          <w:bottom/>
        </w:pBdr>
        <w:rPr>
          <w:b/>
        </w:rPr>
      </w:pPr>
      <w:r>
        <w:rPr>
          <w:b/>
        </w:rPr>
        <w:t>参数同步：</w:t>
      </w:r>
    </w:p>
    <w:p>
      <w:pPr>
        <w:pStyle w:val="ablt93"/>
        <w:pBdr/>
        <w:ind/>
        <w:rPr/>
      </w:pPr>
      <w:r>
        <w:rPr/>
        <w:t>【基础报表参数同步】</w:t>
      </w:r>
    </w:p>
    <w:p>
      <w:pPr>
        <w:pStyle w:val="ablt93"/>
        <w:numPr>
          <w:ilvl w:val="0"/>
          <w:numId w:val="23"/>
        </w:numPr>
        <w:pBdr/>
        <w:ind/>
        <w:rPr/>
      </w:pPr>
      <w:r>
        <w:rPr/>
        <w:t>集团自定义报表参数，可通过单机版制作参数后导入，也可在女娲平台创建新任务制作参数；所有全集团统一管理的任务参数都由集团统一下发；</w:t>
      </w:r>
    </w:p>
    <w:p>
      <w:pPr>
        <w:pStyle w:val="ablt93"/>
        <w:numPr>
          <w:ilvl w:val="0"/>
          <w:numId w:val="23"/>
        </w:numPr>
        <w:pBdr/>
        <w:ind/>
        <w:rPr/>
      </w:pPr>
      <w:r>
        <w:rPr/>
        <w:t>二级单位用于上报的任务由集团进行参数下发。二级单位可在集团下发的任务基础上新增报表方案或者在原有报表方案中新增报表，用于填写二级单位个性化的填报需求。</w:t>
      </w:r>
    </w:p>
    <w:p>
      <w:pPr>
        <w:pStyle w:val="ablt93"/>
        <w:numPr>
          <w:ilvl w:val="0"/>
          <w:numId w:val="23"/>
        </w:numPr>
        <w:pBdr/>
        <w:ind/>
        <w:rPr/>
      </w:pPr>
      <w:r>
        <w:rPr/>
        <w:t>任务绑定的组织机构数据由集团统一维护后通过参数【合并单位】进行统一下发，若后续有单位变动，都在集团统一维护后再次同步至二级单位；</w:t>
      </w:r>
    </w:p>
    <w:p>
      <w:pPr>
        <w:pStyle w:val="ablt93"/>
        <w:numPr>
          <w:ilvl w:val="0"/>
          <w:numId w:val="23"/>
        </w:numPr>
        <w:pBdr>
          <w:bottom/>
        </w:pBdr>
        <w:ind/>
        <w:rPr/>
      </w:pPr>
      <w:r>
        <w:rPr/>
        <w:t>若已同步的任务只修改了公式方案，则再次同步时可只选择公式方案进行单独同步；前提是公式方案所在任务必须是集团同步的，而不是自己创建的；</w:t>
      </w:r>
    </w:p>
    <w:p>
      <w:pPr>
        <w:pStyle w:val="ablt93"/>
        <w:pBdr/>
        <w:ind w:left="0"/>
        <w:rPr/>
      </w:pPr>
      <w:r>
        <w:rPr/>
        <w:t>【合并体系、折算体系参数同步】</w:t>
      </w:r>
    </w:p>
    <w:p>
      <w:pPr>
        <w:pStyle w:val="ablt93"/>
        <w:pBdr/>
        <w:ind w:left="0"/>
        <w:rPr/>
      </w:pPr>
      <w:r>
        <w:rPr/>
        <w:t>1）集团新增合并体系以及折算体系，将体系直接同步给二级单位使用；</w:t>
      </w:r>
    </w:p>
    <w:p>
      <w:pPr>
        <w:pStyle w:val="ablt93"/>
        <w:pBdr/>
        <w:ind w:left="0"/>
        <w:rPr/>
      </w:pPr>
      <w:r>
        <w:rPr/>
        <w:t>2）若二级单位使用的合并科目需比集团下发的合并科目粒度更细，则二级单位可在下发合并科目基础上进行更明细科目的新增；在相关数据上传时程序会自动进行科目转换，转换规则：若科目在集团服务中不存在，则找下级服务中该科目的上级去跟集团服务中的科目匹配；</w:t>
      </w:r>
    </w:p>
    <w:p>
      <w:pPr>
        <w:pStyle w:val="ablt93"/>
        <w:pBdr/>
        <w:ind w:left="0"/>
        <w:rPr/>
      </w:pPr>
      <w:r>
        <w:rPr>
          <w:sz w:val="20"/>
        </w:rPr>
        <w:t>注：</w:t>
      </w:r>
    </w:p>
    <w:p>
      <w:pPr>
        <w:pStyle w:val="ablt93"/>
        <w:pBdr/>
        <w:ind w:left="0"/>
        <w:rPr>
          <w:sz w:val="20"/>
        </w:rPr>
      </w:pPr>
      <w:r>
        <w:rPr>
          <w:sz w:val="20"/>
        </w:rPr>
        <w:t>1）若系统初始，集团和二级单位各自手工新增名称一致的合并体系或者折算体系，则后续不能通过参数同步进行该体系的同步，所以如果企业管理规划时需确定该部分参数管理流程，若想由集团统一管理，则系统初始化时就要用参数同步来进行体系的下发。</w:t>
      </w:r>
    </w:p>
    <w:p>
      <w:pPr>
        <w:pStyle w:val="ablt93"/>
        <w:pBdr/>
        <w:ind w:left="0"/>
        <w:rPr>
          <w:color w:val="FF0000"/>
          <w:sz w:val="20"/>
        </w:rPr>
      </w:pPr>
      <w:r>
        <w:rPr>
          <w:color w:val="FF0000"/>
          <w:sz w:val="20"/>
        </w:rPr>
        <w:t>2）若合并体系为各自创建，则对应合并体系下的抵销分录上传时？？？</w:t>
      </w:r>
    </w:p>
    <w:p>
      <w:pPr>
        <w:pStyle w:val="ablt93"/>
        <w:pBdr/>
        <w:ind w:left="0"/>
        <w:rPr>
          <w:color w:val="000000"/>
        </w:rPr>
      </w:pPr>
      <w:r>
        <w:rPr>
          <w:color w:val="000000"/>
        </w:rPr>
        <w:t>【基础数据、组织机构参数同步】</w:t>
      </w:r>
    </w:p>
    <w:p>
      <w:pPr>
        <w:pStyle w:val="ablt93"/>
        <w:pBdr/>
        <w:ind w:left="0" w:firstLineChars="200"/>
        <w:rPr>
          <w:color w:val="000000"/>
        </w:rPr>
      </w:pPr>
      <w:r>
        <w:rPr>
          <w:color w:val="000000"/>
        </w:rPr>
        <w:t>按需同步即可</w:t>
      </w:r>
    </w:p>
    <w:p>
      <w:pPr>
        <w:pStyle w:val="ablt93"/>
        <w:numPr>
          <w:ilvl w:val="0"/>
          <w:numId w:val="24"/>
        </w:numPr>
        <w:pBdr/>
        <w:rPr>
          <w:color w:val="000000"/>
        </w:rPr>
      </w:pPr>
      <w:r>
        <w:rPr>
          <w:b/>
          <w:color w:val="000000"/>
        </w:rPr>
        <w:t>数据上传</w:t>
      </w:r>
    </w:p>
    <w:p>
      <w:pPr>
        <w:pStyle w:val="ablt93"/>
        <w:pBdr/>
        <w:ind w:left="0" w:firstLineChars="200"/>
        <w:rPr>
          <w:color w:val="FF0000"/>
        </w:rPr>
      </w:pPr>
      <w:r>
        <w:rPr>
          <w:color w:val="000000"/>
        </w:rPr>
        <w:t>数据上传分标准版二级部署模式和专业版二级部署模式，可按需选择模式；</w:t>
      </w:r>
      <w:r>
        <w:rPr>
          <w:color w:val="FF0000"/>
        </w:rPr>
        <w:t>（后续会去掉模式区分）</w:t>
      </w:r>
    </w:p>
    <w:p>
      <w:pPr>
        <w:pStyle w:val="ablt93"/>
        <w:pBdr/>
        <w:ind w:left="0" w:firstLineChars="200"/>
        <w:rPr>
          <w:color w:val="000000"/>
        </w:rPr>
      </w:pPr>
      <w:r>
        <w:rPr>
          <w:color w:val="000000"/>
        </w:rPr>
        <w:t>标准版二级部署模式只针对报表数据上传，并且为全量单位和报表数据上传，适用于只用基础报表的企业，并且管理模式为层层上报，每次数据上传时范围都是本服务中所有单位数据，上传时无需选择单位和报表，操作方便快捷；</w:t>
      </w:r>
    </w:p>
    <w:p>
      <w:pPr>
        <w:pStyle w:val="ablt93"/>
        <w:pBdr>
          <w:bottom/>
        </w:pBdr>
        <w:ind w:left="0" w:firstLineChars="200"/>
        <w:rPr>
          <w:color w:val="000000"/>
        </w:rPr>
      </w:pPr>
      <w:r>
        <w:rPr>
          <w:color w:val="000000"/>
        </w:rPr>
        <w:t>专业版二级部署模式支持报表数据、台账数据、抵销分录、折算汇率的上传，且报表数据上传需选择单位和报表，适用于使用合并报表的企业或者上传数据时不同单位数据有分别上传至集团的需求。</w:t>
      </w:r>
    </w:p>
    <w:p>
      <w:pPr>
        <w:pStyle w:val="zesc86"/>
        <w:numPr>
          <w:ilvl w:val="2"/>
          <w:numId w:val="1"/>
        </w:numPr>
        <w:pBdr>
          <w:bottom/>
        </w:pBdr>
        <w:rPr/>
      </w:pPr>
      <w:r>
        <w:rPr/>
        <w:t>使用功能列表</w:t>
      </w:r>
    </w:p>
    <w:tbl>
      <w:tblPr>
        <w:tblStyle w:val="vqngml"/>
        <w:tblLayout w:type="fixed"/>
        <w:tblLook/>
      </w:tblPr>
      <w:tblGrid>
        <w:gridCol w:w="690"/>
        <w:gridCol w:w="2385"/>
        <w:gridCol w:w="5970"/>
      </w:tblGrid>
      <w:tr>
        <w:trPr>
          <w:trHeight/>
        </w:trPr>
        <w:tc>
          <w:tcPr>
            <w:tcW w:w="690" w:type="dxa"/>
            <w:shd w:val="clear" w:color="auto" w:fill="FFEEAD"/>
          </w:tcPr>
          <w:p>
            <w:pPr>
              <w:numPr/>
              <w:pBdr/>
              <w:rPr>
                <w:b/>
              </w:rPr>
            </w:pPr>
            <w:r>
              <w:rPr>
                <w:b/>
              </w:rPr>
              <w:t>序号</w:t>
            </w:r>
          </w:p>
        </w:tc>
        <w:tc>
          <w:tcPr>
            <w:tcW w:w="2385" w:type="dxa"/>
            <w:shd w:val="clear" w:color="auto" w:fill="FFEEAD"/>
          </w:tcPr>
          <w:p>
            <w:pPr>
              <w:numPr/>
              <w:rPr>
                <w:b/>
              </w:rPr>
            </w:pPr>
            <w:r>
              <w:rPr>
                <w:b/>
              </w:rPr>
              <w:t>功能名称</w:t>
            </w:r>
          </w:p>
        </w:tc>
        <w:tc>
          <w:tcPr>
            <w:tcW w:w="5970" w:type="dxa"/>
            <w:shd w:val="clear" w:color="auto" w:fill="FFEEAD"/>
          </w:tcPr>
          <w:p>
            <w:pPr>
              <w:numPr/>
              <w:rPr>
                <w:b/>
              </w:rPr>
            </w:pPr>
            <w:r>
              <w:rPr>
                <w:b/>
              </w:rPr>
              <w:t>支持功能</w:t>
            </w:r>
          </w:p>
        </w:tc>
      </w:tr>
      <w:tr>
        <w:trPr>
          <w:trHeight/>
        </w:trPr>
        <w:tc>
          <w:tcPr>
            <w:tcW w:w="9045" w:type="dxa"/>
            <w:gridSpan w:val="3"/>
          </w:tcPr>
          <w:p>
            <w:pPr>
              <w:numPr/>
              <w:rPr/>
            </w:pPr>
            <w:r>
              <w:rPr/>
              <w:t>国资委使用：</w:t>
            </w:r>
          </w:p>
        </w:tc>
      </w:tr>
      <w:tr>
        <w:trPr>
          <w:trHeight/>
        </w:trPr>
        <w:tc>
          <w:tcPr>
            <w:tcW w:w="690" w:type="dxa"/>
          </w:tcPr>
          <w:p>
            <w:pPr>
              <w:numPr/>
              <w:rPr/>
            </w:pPr>
            <w:r>
              <w:rPr/>
              <w:t>1</w:t>
            </w:r>
          </w:p>
        </w:tc>
        <w:tc>
          <w:tcPr>
            <w:tcW w:w="2385" w:type="dxa"/>
          </w:tcPr>
          <w:p>
            <w:pPr>
              <w:numPr/>
              <w:rPr/>
            </w:pPr>
            <w:r>
              <w:rPr/>
              <w:t>目标服务器管理</w:t>
            </w:r>
          </w:p>
        </w:tc>
        <w:tc>
          <w:tcPr>
            <w:tcW w:w="5970" w:type="dxa"/>
          </w:tcPr>
          <w:p>
            <w:pPr>
              <w:numPr/>
              <w:rPr/>
            </w:pPr>
            <w:r>
              <w:rPr/>
              <w:t>接收企业注册连接信息、创建连接、启用停用企业连接</w:t>
            </w:r>
          </w:p>
        </w:tc>
      </w:tr>
      <w:tr>
        <w:trPr>
          <w:trHeight/>
        </w:trPr>
        <w:tc>
          <w:tcPr>
            <w:tcW w:w="690" w:type="dxa"/>
          </w:tcPr>
          <w:p>
            <w:pPr>
              <w:numPr/>
              <w:rPr/>
            </w:pPr>
            <w:r>
              <w:rPr/>
              <w:t>2</w:t>
            </w:r>
          </w:p>
        </w:tc>
        <w:tc>
          <w:tcPr>
            <w:tcW w:w="2385" w:type="dxa"/>
          </w:tcPr>
          <w:p>
            <w:pPr>
              <w:numPr/>
              <w:rPr/>
            </w:pPr>
            <w:r>
              <w:rPr/>
              <w:t>参数同步</w:t>
            </w:r>
          </w:p>
        </w:tc>
        <w:tc>
          <w:tcPr>
            <w:tcW w:w="5970" w:type="dxa"/>
          </w:tcPr>
          <w:p>
            <w:pPr>
              <w:numPr/>
              <w:rPr/>
            </w:pPr>
            <w:r>
              <w:rPr/>
              <w:t>生成任务参数、在线同步参数、导出离线参数包</w:t>
            </w:r>
          </w:p>
        </w:tc>
      </w:tr>
      <w:tr>
        <w:trPr>
          <w:trHeight/>
        </w:trPr>
        <w:tc>
          <w:tcPr>
            <w:tcW w:w="690" w:type="dxa"/>
          </w:tcPr>
          <w:p>
            <w:pPr>
              <w:numPr/>
              <w:rPr/>
            </w:pPr>
            <w:r>
              <w:rPr/>
              <w:t>3</w:t>
            </w:r>
          </w:p>
        </w:tc>
        <w:tc>
          <w:tcPr>
            <w:tcW w:w="2385" w:type="dxa"/>
          </w:tcPr>
          <w:p>
            <w:pPr>
              <w:numPr/>
              <w:rPr/>
            </w:pPr>
            <w:r>
              <w:rPr/>
              <w:t>上传数据管理</w:t>
            </w:r>
          </w:p>
        </w:tc>
        <w:tc>
          <w:tcPr>
            <w:tcW w:w="5970" w:type="dxa"/>
          </w:tcPr>
          <w:p>
            <w:pPr>
              <w:numPr/>
              <w:rPr/>
            </w:pPr>
            <w:r>
              <w:rPr/>
              <w:t>接收企业上传数据、数据装载、离线数据包导入</w:t>
            </w:r>
          </w:p>
        </w:tc>
      </w:tr>
      <w:tr>
        <w:trPr>
          <w:trHeight/>
        </w:trPr>
        <w:tc>
          <w:tcPr>
            <w:tcW w:w="690" w:type="dxa"/>
          </w:tcPr>
          <w:p>
            <w:pPr>
              <w:numPr/>
              <w:rPr/>
            </w:pPr>
            <w:r>
              <w:rPr/>
              <w:t>4</w:t>
            </w:r>
          </w:p>
        </w:tc>
        <w:tc>
          <w:tcPr>
            <w:tcW w:w="2385" w:type="dxa"/>
          </w:tcPr>
          <w:p>
            <w:pPr>
              <w:numPr/>
              <w:rPr/>
            </w:pPr>
            <w:r>
              <w:rPr/>
              <w:t>数据录入</w:t>
            </w:r>
          </w:p>
        </w:tc>
        <w:tc>
          <w:tcPr>
            <w:tcW w:w="5970" w:type="dxa"/>
          </w:tcPr>
          <w:p>
            <w:pPr>
              <w:numPr/>
              <w:rPr/>
            </w:pPr>
            <w:r>
              <w:rPr/>
              <w:t>企业上传数据查看、数据同步退回</w:t>
            </w:r>
          </w:p>
        </w:tc>
      </w:tr>
      <w:tr>
        <w:trPr>
          <w:trHeight/>
        </w:trPr>
        <w:tc>
          <w:tcPr>
            <w:tcW w:w="9045" w:type="dxa"/>
            <w:gridSpan w:val="3"/>
          </w:tcPr>
          <w:p>
            <w:pPr>
              <w:numPr/>
              <w:rPr/>
            </w:pPr>
            <w:r>
              <w:rPr/>
              <w:t>企业端使用：</w:t>
            </w:r>
          </w:p>
        </w:tc>
      </w:tr>
      <w:tr>
        <w:trPr>
          <w:trHeight/>
        </w:trPr>
        <w:tc>
          <w:tcPr>
            <w:tcW w:w="690" w:type="dxa"/>
          </w:tcPr>
          <w:p>
            <w:pPr>
              <w:numPr/>
              <w:rPr/>
            </w:pPr>
            <w:r>
              <w:rPr/>
              <w:t>1</w:t>
            </w:r>
          </w:p>
        </w:tc>
        <w:tc>
          <w:tcPr>
            <w:tcW w:w="2385" w:type="dxa"/>
          </w:tcPr>
          <w:p>
            <w:pPr>
              <w:numPr/>
              <w:rPr/>
            </w:pPr>
            <w:r>
              <w:rPr/>
              <w:t>目标服务器设置</w:t>
            </w:r>
          </w:p>
        </w:tc>
        <w:tc>
          <w:tcPr>
            <w:tcW w:w="5970" w:type="dxa"/>
          </w:tcPr>
          <w:p>
            <w:pPr>
              <w:numPr/>
              <w:rPr/>
            </w:pPr>
            <w:r>
              <w:rPr/>
              <w:t>注册连接信息，同步至国资委</w:t>
            </w:r>
          </w:p>
        </w:tc>
      </w:tr>
      <w:tr>
        <w:trPr>
          <w:trHeight/>
        </w:trPr>
        <w:tc>
          <w:tcPr>
            <w:tcW w:w="690" w:type="dxa"/>
          </w:tcPr>
          <w:p>
            <w:pPr>
              <w:numPr/>
              <w:rPr/>
            </w:pPr>
            <w:r>
              <w:rPr/>
              <w:t>2</w:t>
            </w:r>
          </w:p>
        </w:tc>
        <w:tc>
          <w:tcPr>
            <w:tcW w:w="2385" w:type="dxa"/>
          </w:tcPr>
          <w:p>
            <w:pPr>
              <w:numPr/>
              <w:rPr/>
            </w:pPr>
            <w:r>
              <w:rPr/>
              <w:t>参数更新管理</w:t>
            </w:r>
          </w:p>
        </w:tc>
        <w:tc>
          <w:tcPr>
            <w:tcW w:w="5970" w:type="dxa"/>
          </w:tcPr>
          <w:p>
            <w:pPr>
              <w:numPr/>
              <w:rPr/>
            </w:pPr>
            <w:r>
              <w:rPr/>
              <w:t>接收国资委下发参数、更新参数、离线参数包导入</w:t>
            </w:r>
          </w:p>
        </w:tc>
      </w:tr>
      <w:tr>
        <w:trPr>
          <w:trHeight/>
        </w:trPr>
        <w:tc>
          <w:tcPr>
            <w:tcW w:w="690" w:type="dxa"/>
          </w:tcPr>
          <w:p>
            <w:pPr>
              <w:numPr/>
              <w:rPr/>
            </w:pPr>
            <w:r>
              <w:rPr/>
              <w:t>3</w:t>
            </w:r>
          </w:p>
        </w:tc>
        <w:tc>
          <w:tcPr>
            <w:tcW w:w="2385" w:type="dxa"/>
          </w:tcPr>
          <w:p>
            <w:pPr>
              <w:numPr/>
              <w:rPr/>
            </w:pPr>
            <w:r>
              <w:rPr/>
              <w:t>数据上传</w:t>
            </w:r>
          </w:p>
        </w:tc>
        <w:tc>
          <w:tcPr>
            <w:tcW w:w="5970" w:type="dxa"/>
          </w:tcPr>
          <w:p>
            <w:pPr>
              <w:numPr/>
              <w:rPr/>
            </w:pPr>
            <w:r>
              <w:rPr/>
              <w:t>创建上传方案、数据上传、离线数据生成</w:t>
            </w:r>
          </w:p>
        </w:tc>
      </w:tr>
    </w:tbl>
    <w:p>
      <w:pPr>
        <w:pStyle w:val="ablt93"/>
        <w:ind/>
        <w:rPr/>
      </w:pPr>
    </w:p>
    <w:p>
      <w:pPr>
        <w:pStyle w:val="zesc86"/>
        <w:numPr>
          <w:ilvl w:val="2"/>
          <w:numId w:val="1"/>
        </w:numPr>
        <w:rPr/>
      </w:pPr>
      <w:r>
        <w:rPr/>
        <w:t>功能框架图</w:t>
      </w:r>
    </w:p>
    <w:p>
      <w:pPr>
        <w:pStyle w:val="ablt93"/>
        <w:pBdr/>
        <w:ind w:left="0"/>
        <w:rPr/>
      </w:pPr>
      <w:r>
        <w:rPr/>
        <w:drawing>
          <wp:inline distT="0" distB="0" distL="0" distR="0">
            <wp:extent cx="5760085" cy="4017875"/>
            <wp:effectExtent l="0" t="0" r="0" b="0"/>
            <wp:docPr id="98" name="picture" descr="descript"/>
            <wp:cNvGraphicFramePr/>
            <a:graphic>
              <a:graphicData uri="http://schemas.openxmlformats.org/drawingml/2006/picture">
                <pic:pic>
                  <pic:nvPicPr>
                    <pic:cNvPr id="99" name="picture" descr="descript"/>
                    <pic:cNvPicPr/>
                  </pic:nvPicPr>
                  <pic:blipFill rotWithShape="true">
                    <a:blip r:embed="rId31"/>
                    <a:stretch/>
                  </pic:blipFill>
                  <pic:spPr>
                    <a:xfrm>
                      <a:off x="0" y="0"/>
                      <a:ext cx="5760085" cy="4017875"/>
                    </a:xfrm>
                    <a:prstGeom prst="rect">
                      <a:avLst/>
                    </a:prstGeom>
                  </pic:spPr>
                </pic:pic>
              </a:graphicData>
            </a:graphic>
          </wp:inline>
        </w:drawing>
      </w:r>
    </w:p>
    <w:p>
      <w:pPr>
        <w:pStyle w:val="zesc86"/>
        <w:numPr>
          <w:ilvl w:val="2"/>
          <w:numId w:val="1"/>
        </w:numPr>
        <w:pBdr/>
        <w:rPr/>
      </w:pPr>
      <w:r>
        <w:rPr/>
        <w:t>操作指引</w:t>
      </w:r>
    </w:p>
    <w:p>
      <w:pPr>
        <w:pStyle w:val="1w583x"/>
        <w:numPr>
          <w:ilvl w:val="3"/>
          <w:numId w:val="1"/>
        </w:numPr>
        <w:rPr/>
      </w:pPr>
      <w:r>
        <w:rPr/>
        <w:t>网络联通-在线</w:t>
      </w:r>
    </w:p>
    <w:p>
      <w:pPr>
        <w:pStyle w:val="ablt93"/>
        <w:numPr>
          <w:ilvl w:val="0"/>
          <w:numId w:val="25"/>
        </w:numPr>
        <w:pBdr/>
        <w:ind/>
        <w:rPr/>
      </w:pPr>
      <w:r>
        <w:rPr/>
        <w:t>二级单位：注册连接信息并同步至集团，创建两服务之间的连接；</w:t>
      </w:r>
    </w:p>
    <w:p>
      <w:pPr>
        <w:pStyle w:val="ablt93"/>
        <w:numPr/>
        <w:pBdr/>
        <w:ind w:left="0"/>
        <w:rPr/>
      </w:pPr>
      <w:r>
        <w:rPr/>
        <w:drawing>
          <wp:inline distT="0" distB="0" distL="0" distR="0">
            <wp:extent cx="5760085" cy="2811041"/>
            <wp:effectExtent l="0" t="0" r="0" b="0"/>
            <wp:docPr id="101" name="picture" descr="descript"/>
            <wp:cNvGraphicFramePr>
              <a:graphicFrameLocks/>
            </wp:cNvGraphicFramePr>
            <a:graphic>
              <a:graphicData uri="http://schemas.openxmlformats.org/drawingml/2006/picture">
                <pic:pic>
                  <pic:nvPicPr>
                    <pic:cNvPr id="102" name="picture" descr="descript"/>
                    <pic:cNvPicPr/>
                  </pic:nvPicPr>
                  <pic:blipFill rotWithShape="true">
                    <a:blip r:embed="rId7"/>
                    <a:srcRect/>
                    <a:stretch/>
                  </pic:blipFill>
                  <pic:spPr>
                    <a:xfrm>
                      <a:off x="0" y="0"/>
                      <a:ext cx="5760085" cy="2811041"/>
                    </a:xfrm>
                    <a:prstGeom prst="rect">
                      <a:avLst/>
                    </a:prstGeom>
                    <a:solidFill/>
                    <a:ln/>
                  </pic:spPr>
                </pic:pic>
              </a:graphicData>
            </a:graphic>
          </wp:inline>
        </w:drawing>
      </w:r>
    </w:p>
    <w:p>
      <w:pPr>
        <w:pStyle w:val="ablt93"/>
        <w:numPr>
          <w:ilvl w:val="0"/>
          <w:numId w:val="25"/>
        </w:numPr>
        <w:pBdr/>
        <w:ind/>
        <w:rPr/>
      </w:pPr>
      <w:r>
        <w:rPr/>
        <w:t>集团：启用连接；</w:t>
      </w:r>
    </w:p>
    <w:p>
      <w:pPr>
        <w:pStyle w:val="ablt93"/>
        <w:numPr/>
        <w:pBdr/>
        <w:ind w:left="0"/>
        <w:rPr/>
      </w:pPr>
      <w:r>
        <w:rPr/>
        <w:drawing>
          <wp:inline distT="0" distB="0" distL="0" distR="0">
            <wp:extent cx="5760085" cy="2811041"/>
            <wp:effectExtent l="0" t="0" r="0" b="0"/>
            <wp:docPr id="104" name="picture" descr="descript"/>
            <wp:cNvGraphicFramePr>
              <a:graphicFrameLocks/>
            </wp:cNvGraphicFramePr>
            <a:graphic>
              <a:graphicData uri="http://schemas.openxmlformats.org/drawingml/2006/picture">
                <pic:pic>
                  <pic:nvPicPr>
                    <pic:cNvPr id="105" name="picture" descr="descript"/>
                    <pic:cNvPicPr/>
                  </pic:nvPicPr>
                  <pic:blipFill rotWithShape="true">
                    <a:blip r:embed="rId8"/>
                    <a:srcRect/>
                    <a:stretch/>
                  </pic:blipFill>
                  <pic:spPr>
                    <a:xfrm>
                      <a:off x="0" y="0"/>
                      <a:ext cx="5760085" cy="2811041"/>
                    </a:xfrm>
                    <a:prstGeom prst="rect">
                      <a:avLst/>
                    </a:prstGeom>
                    <a:solidFill/>
                    <a:ln/>
                  </pic:spPr>
                </pic:pic>
              </a:graphicData>
            </a:graphic>
          </wp:inline>
        </w:drawing>
      </w:r>
    </w:p>
    <w:p>
      <w:pPr>
        <w:pStyle w:val="ablt93"/>
        <w:numPr>
          <w:ilvl w:val="0"/>
          <w:numId w:val="25"/>
        </w:numPr>
        <w:pBdr/>
        <w:ind/>
        <w:rPr/>
      </w:pPr>
      <w:r>
        <w:rPr/>
        <w:t>集团：生成参数并同步至二级单位，包括任务、合并体系、合并单位等；</w:t>
      </w:r>
    </w:p>
    <w:p>
      <w:pPr>
        <w:pStyle w:val="ablt93"/>
        <w:numPr/>
        <w:pBdr/>
        <w:ind w:left="0"/>
        <w:rPr/>
      </w:pPr>
      <w:r>
        <w:rPr/>
        <w:drawing>
          <wp:inline distT="0" distB="0" distL="0" distR="0">
            <wp:extent cx="5760085" cy="2811041"/>
            <wp:effectExtent l="0" t="0" r="0" b="0"/>
            <wp:docPr id="107" name="picture" descr="descript"/>
            <wp:cNvGraphicFramePr/>
            <a:graphic>
              <a:graphicData uri="http://schemas.openxmlformats.org/drawingml/2006/picture">
                <pic:pic>
                  <pic:nvPicPr>
                    <pic:cNvPr id="108" name="picture" descr="descript"/>
                    <pic:cNvPicPr/>
                  </pic:nvPicPr>
                  <pic:blipFill rotWithShape="true">
                    <a:blip r:embed="rId32"/>
                    <a:stretch/>
                  </pic:blipFill>
                  <pic:spPr>
                    <a:xfrm>
                      <a:off x="0" y="0"/>
                      <a:ext cx="5760085" cy="2811041"/>
                    </a:xfrm>
                    <a:prstGeom prst="rect">
                      <a:avLst/>
                    </a:prstGeom>
                  </pic:spPr>
                </pic:pic>
              </a:graphicData>
            </a:graphic>
          </wp:inline>
        </w:drawing>
      </w:r>
    </w:p>
    <w:p>
      <w:pPr>
        <w:pStyle w:val="ablt93"/>
        <w:numPr>
          <w:ilvl w:val="0"/>
          <w:numId w:val="25"/>
        </w:numPr>
        <w:pBdr/>
        <w:ind/>
        <w:rPr/>
      </w:pPr>
      <w:r>
        <w:rPr/>
        <w:t>二级单位：更新参数，下载参数更新说明；</w:t>
      </w:r>
    </w:p>
    <w:p>
      <w:pPr>
        <w:pStyle w:val="ablt93"/>
        <w:numPr/>
        <w:pBdr/>
        <w:ind w:left="0"/>
        <w:rPr/>
      </w:pPr>
      <w:r>
        <w:rPr/>
        <w:drawing>
          <wp:inline distT="0" distB="0" distL="0" distR="0">
            <wp:extent cx="5760085" cy="2811041"/>
            <wp:effectExtent l="0" t="0" r="0" b="0"/>
            <wp:docPr id="110" name="picture" descr="descript"/>
            <wp:cNvGraphicFramePr>
              <a:graphicFrameLocks/>
            </wp:cNvGraphicFramePr>
            <a:graphic>
              <a:graphicData uri="http://schemas.openxmlformats.org/drawingml/2006/picture">
                <pic:pic>
                  <pic:nvPicPr>
                    <pic:cNvPr id="111" name="picture" descr="descript"/>
                    <pic:cNvPicPr/>
                  </pic:nvPicPr>
                  <pic:blipFill rotWithShape="true">
                    <a:blip r:embed="rId10"/>
                    <a:srcRect/>
                    <a:stretch/>
                  </pic:blipFill>
                  <pic:spPr>
                    <a:xfrm>
                      <a:off x="0" y="0"/>
                      <a:ext cx="5760085" cy="2811041"/>
                    </a:xfrm>
                    <a:prstGeom prst="rect">
                      <a:avLst/>
                    </a:prstGeom>
                    <a:solidFill/>
                    <a:ln/>
                  </pic:spPr>
                </pic:pic>
              </a:graphicData>
            </a:graphic>
          </wp:inline>
        </w:drawing>
      </w:r>
    </w:p>
    <w:p>
      <w:pPr>
        <w:pStyle w:val="ablt93"/>
        <w:numPr>
          <w:ilvl w:val="0"/>
          <w:numId w:val="25"/>
        </w:numPr>
        <w:pBdr/>
        <w:ind/>
        <w:rPr/>
      </w:pPr>
      <w:r>
        <w:rPr/>
        <w:t>二级单位：发布任务；</w:t>
      </w:r>
    </w:p>
    <w:p>
      <w:pPr>
        <w:pStyle w:val="ablt93"/>
        <w:numPr/>
        <w:pBdr/>
        <w:ind w:left="0"/>
        <w:rPr/>
      </w:pPr>
      <w:r>
        <w:rPr/>
        <w:drawing>
          <wp:inline distT="0" distB="0" distL="0" distR="0">
            <wp:extent cx="5760085" cy="2811041"/>
            <wp:effectExtent l="0" t="0" r="0" b="0"/>
            <wp:docPr id="113" name="picture" descr="descript"/>
            <wp:cNvGraphicFramePr>
              <a:graphicFrameLocks/>
            </wp:cNvGraphicFramePr>
            <a:graphic>
              <a:graphicData uri="http://schemas.openxmlformats.org/drawingml/2006/picture">
                <pic:pic>
                  <pic:nvPicPr>
                    <pic:cNvPr id="114" name="picture" descr="descript"/>
                    <pic:cNvPicPr/>
                  </pic:nvPicPr>
                  <pic:blipFill rotWithShape="true">
                    <a:blip r:embed="rId11"/>
                    <a:srcRect/>
                    <a:stretch/>
                  </pic:blipFill>
                  <pic:spPr>
                    <a:xfrm>
                      <a:off x="0" y="0"/>
                      <a:ext cx="5760085" cy="2811041"/>
                    </a:xfrm>
                    <a:prstGeom prst="rect">
                      <a:avLst/>
                    </a:prstGeom>
                    <a:solidFill/>
                    <a:ln/>
                  </pic:spPr>
                </pic:pic>
              </a:graphicData>
            </a:graphic>
          </wp:inline>
        </w:drawing>
      </w:r>
    </w:p>
    <w:p>
      <w:pPr>
        <w:pStyle w:val="ablt93"/>
        <w:numPr>
          <w:ilvl w:val="0"/>
          <w:numId w:val="25"/>
        </w:numPr>
        <w:pBdr/>
        <w:ind/>
        <w:rPr/>
      </w:pPr>
      <w:r>
        <w:rPr/>
        <w:t>二级单位：填写数据和出错说明；</w:t>
      </w:r>
    </w:p>
    <w:p>
      <w:pPr>
        <w:pStyle w:val="ablt93"/>
        <w:numPr/>
        <w:pBdr/>
        <w:ind w:left="0"/>
        <w:rPr/>
      </w:pPr>
      <w:r>
        <w:rPr/>
        <w:drawing>
          <wp:inline distT="0" distB="0" distL="0" distR="0">
            <wp:extent cx="5760085" cy="2811041"/>
            <wp:effectExtent l="0" t="0" r="0" b="0"/>
            <wp:docPr id="116" name="picture" descr="descript"/>
            <wp:cNvGraphicFramePr>
              <a:graphicFrameLocks/>
            </wp:cNvGraphicFramePr>
            <a:graphic>
              <a:graphicData uri="http://schemas.openxmlformats.org/drawingml/2006/picture">
                <pic:pic>
                  <pic:nvPicPr>
                    <pic:cNvPr id="117" name="picture" descr="descript"/>
                    <pic:cNvPicPr/>
                  </pic:nvPicPr>
                  <pic:blipFill rotWithShape="true">
                    <a:blip r:embed="rId13"/>
                    <a:srcRect/>
                    <a:stretch/>
                  </pic:blipFill>
                  <pic:spPr>
                    <a:xfrm>
                      <a:off x="0" y="0"/>
                      <a:ext cx="5760085" cy="2811041"/>
                    </a:xfrm>
                    <a:prstGeom prst="rect">
                      <a:avLst/>
                    </a:prstGeom>
                    <a:solidFill/>
                    <a:ln/>
                  </pic:spPr>
                </pic:pic>
              </a:graphicData>
            </a:graphic>
          </wp:inline>
        </w:drawing>
      </w:r>
    </w:p>
    <w:p>
      <w:pPr>
        <w:pStyle w:val="ablt93"/>
        <w:numPr>
          <w:ilvl w:val="0"/>
          <w:numId w:val="25"/>
        </w:numPr>
        <w:pBdr/>
        <w:ind/>
        <w:rPr/>
      </w:pPr>
      <w:r>
        <w:rPr/>
        <w:t>二级单位：数据上传，包括报表数据、台账数据、抵销分录、折算汇率等；</w:t>
      </w:r>
    </w:p>
    <w:p>
      <w:pPr>
        <w:pStyle w:val="ablt93"/>
        <w:numPr/>
        <w:pBdr/>
        <w:ind w:left="0"/>
        <w:rPr/>
      </w:pPr>
      <w:r>
        <w:rPr/>
        <w:drawing>
          <wp:inline distT="0" distB="0" distL="0" distR="0">
            <wp:extent cx="5760085" cy="2811041"/>
            <wp:effectExtent l="0" t="0" r="0" b="0"/>
            <wp:docPr id="119" name="picture" descr="descript"/>
            <wp:cNvGraphicFramePr>
              <a:graphicFrameLocks/>
            </wp:cNvGraphicFramePr>
            <a:graphic>
              <a:graphicData uri="http://schemas.openxmlformats.org/drawingml/2006/picture">
                <pic:pic>
                  <pic:nvPicPr>
                    <pic:cNvPr id="120" name="picture" descr="descript"/>
                    <pic:cNvPicPr/>
                  </pic:nvPicPr>
                  <pic:blipFill rotWithShape="true">
                    <a:blip r:embed="rId15"/>
                    <a:srcRect/>
                    <a:stretch/>
                  </pic:blipFill>
                  <pic:spPr>
                    <a:xfrm>
                      <a:off x="0" y="0"/>
                      <a:ext cx="5760085" cy="2811041"/>
                    </a:xfrm>
                    <a:prstGeom prst="rect">
                      <a:avLst/>
                    </a:prstGeom>
                    <a:solidFill/>
                    <a:ln/>
                  </pic:spPr>
                </pic:pic>
              </a:graphicData>
            </a:graphic>
          </wp:inline>
        </w:drawing>
      </w:r>
    </w:p>
    <w:p>
      <w:pPr>
        <w:pStyle w:val="ablt93"/>
        <w:numPr>
          <w:ilvl w:val="0"/>
          <w:numId w:val="25"/>
        </w:numPr>
        <w:pBdr/>
        <w:ind/>
        <w:rPr/>
      </w:pPr>
      <w:r>
        <w:rPr/>
        <w:t>集团：可选择单位进行数据退回；</w:t>
      </w:r>
    </w:p>
    <w:p>
      <w:pPr>
        <w:pStyle w:val="ablt93"/>
        <w:pBdr/>
        <w:ind w:left="336"/>
        <w:rPr/>
      </w:pPr>
      <w:r>
        <w:rPr/>
        <w:t>【数据同步退回】可实现跨服务退回；</w:t>
      </w:r>
    </w:p>
    <w:p>
      <w:pPr>
        <w:pStyle w:val="ablt93"/>
        <w:pBdr/>
        <w:ind w:left="336"/>
        <w:rPr/>
      </w:pPr>
      <w:r>
        <w:rPr/>
        <w:t>【退回】本服务退回，更新集团单位上报状态，不给下级发送消息；</w:t>
      </w:r>
    </w:p>
    <w:p>
      <w:pPr>
        <w:pStyle w:val="ablt93"/>
        <w:pBdr/>
        <w:ind w:left="336"/>
        <w:rPr>
          <w:color w:val="FF0000"/>
          <w:sz w:val="20"/>
        </w:rPr>
      </w:pPr>
      <w:r>
        <w:rPr>
          <w:color w:val="FF0000"/>
          <w:sz w:val="20"/>
        </w:rPr>
        <w:t>注：目前仅实现了目标服务器管理中的上报单位可以使用【数据同步退回】，后续会整合两个按钮，实现上报单位的所有下级都可单独进行跨服务数据退回；</w:t>
      </w:r>
    </w:p>
    <w:p>
      <w:pPr>
        <w:pStyle w:val="ablt93"/>
        <w:numPr/>
        <w:ind w:left="0"/>
        <w:rPr/>
      </w:pPr>
      <w:r>
        <w:rPr/>
        <w:drawing>
          <wp:inline distT="0" distB="0" distL="0" distR="0">
            <wp:extent cx="5760085" cy="2811041"/>
            <wp:effectExtent l="0" t="0" r="0" b="0"/>
            <wp:docPr id="122" name="picture" descr="descript"/>
            <wp:cNvGraphicFramePr>
              <a:graphicFrameLocks/>
            </wp:cNvGraphicFramePr>
            <a:graphic>
              <a:graphicData uri="http://schemas.openxmlformats.org/drawingml/2006/picture">
                <pic:pic>
                  <pic:nvPicPr>
                    <pic:cNvPr id="123" name="picture" descr="descript"/>
                    <pic:cNvPicPr/>
                  </pic:nvPicPr>
                  <pic:blipFill rotWithShape="true">
                    <a:blip r:embed="rId16"/>
                    <a:srcRect/>
                    <a:stretch/>
                  </pic:blipFill>
                  <pic:spPr>
                    <a:xfrm>
                      <a:off x="0" y="0"/>
                      <a:ext cx="5760085" cy="2811041"/>
                    </a:xfrm>
                    <a:prstGeom prst="rect">
                      <a:avLst/>
                    </a:prstGeom>
                    <a:solidFill/>
                    <a:ln/>
                  </pic:spPr>
                </pic:pic>
              </a:graphicData>
            </a:graphic>
          </wp:inline>
        </w:drawing>
      </w:r>
    </w:p>
    <w:p>
      <w:pPr>
        <w:pStyle w:val="1w583x"/>
        <w:numPr>
          <w:ilvl w:val="3"/>
          <w:numId w:val="1"/>
        </w:numPr>
        <w:pBdr/>
        <w:rPr/>
      </w:pPr>
      <w:r>
        <w:rPr/>
        <w:t>网络联通-离线（仅支持参数离线同步，不支持数据离线上传）</w:t>
      </w:r>
    </w:p>
    <w:p>
      <w:pPr>
        <w:pStyle w:val="ablt93"/>
        <w:numPr/>
        <w:pBdr/>
        <w:rPr/>
      </w:pPr>
      <w:r>
        <w:rPr/>
        <w:t>1）集团：参数导出</w:t>
      </w:r>
    </w:p>
    <w:p>
      <w:pPr>
        <w:pStyle w:val="ablt93"/>
        <w:numPr/>
        <w:pBdr/>
        <w:rPr/>
      </w:pPr>
      <w:r>
        <w:rPr/>
        <w:drawing>
          <wp:inline distT="0" distB="0" distL="0" distR="0">
            <wp:extent cx="5760085" cy="2811041"/>
            <wp:effectExtent l="0" t="0" r="0" b="0"/>
            <wp:docPr id="125" name="picture" descr="descript"/>
            <wp:cNvGraphicFramePr>
              <a:graphicFrameLocks/>
            </wp:cNvGraphicFramePr>
            <a:graphic>
              <a:graphicData uri="http://schemas.openxmlformats.org/drawingml/2006/picture">
                <pic:pic>
                  <pic:nvPicPr>
                    <pic:cNvPr id="126" name="picture" descr="descript"/>
                    <pic:cNvPicPr/>
                  </pic:nvPicPr>
                  <pic:blipFill rotWithShape="true">
                    <a:blip r:embed="rId17"/>
                    <a:srcRect/>
                    <a:stretch/>
                  </pic:blipFill>
                  <pic:spPr>
                    <a:xfrm>
                      <a:off x="0" y="0"/>
                      <a:ext cx="5760085" cy="2811041"/>
                    </a:xfrm>
                    <a:prstGeom prst="rect">
                      <a:avLst/>
                    </a:prstGeom>
                    <a:solidFill/>
                    <a:ln/>
                  </pic:spPr>
                </pic:pic>
              </a:graphicData>
            </a:graphic>
          </wp:inline>
        </w:drawing>
      </w:r>
    </w:p>
    <w:p>
      <w:pPr>
        <w:pStyle w:val="ablt93"/>
        <w:numPr/>
        <w:pBdr/>
        <w:rPr/>
      </w:pPr>
      <w:r>
        <w:rPr/>
        <w:t>2）二级单位：参数导入并更新；</w:t>
      </w:r>
    </w:p>
    <w:p>
      <w:pPr>
        <w:pStyle w:val="ablt93"/>
        <w:numPr/>
        <w:rPr/>
      </w:pPr>
      <w:r>
        <w:rPr/>
        <w:drawing>
          <wp:inline distT="0" distB="0" distL="0" distR="0">
            <wp:extent cx="5760085" cy="2811041"/>
            <wp:effectExtent l="0" t="0" r="0" b="0"/>
            <wp:docPr id="128" name="picture" descr="descript"/>
            <wp:cNvGraphicFramePr>
              <a:graphicFrameLocks/>
            </wp:cNvGraphicFramePr>
            <a:graphic>
              <a:graphicData uri="http://schemas.openxmlformats.org/drawingml/2006/picture">
                <pic:pic>
                  <pic:nvPicPr>
                    <pic:cNvPr id="129" name="picture" descr="descript"/>
                    <pic:cNvPicPr/>
                  </pic:nvPicPr>
                  <pic:blipFill rotWithShape="true">
                    <a:blip r:embed="rId18"/>
                    <a:srcRect/>
                    <a:stretch/>
                  </pic:blipFill>
                  <pic:spPr>
                    <a:xfrm>
                      <a:off x="0" y="0"/>
                      <a:ext cx="5760085" cy="2811041"/>
                    </a:xfrm>
                    <a:prstGeom prst="rect">
                      <a:avLst/>
                    </a:prstGeom>
                    <a:solidFill/>
                    <a:ln/>
                  </pic:spPr>
                </pic:pic>
              </a:graphicData>
            </a:graphic>
          </wp:inline>
        </w:drawing>
      </w:r>
    </w:p>
    <w:p>
      <w:pPr>
        <w:pStyle w:val="ablt93"/>
        <w:rPr/>
      </w:pPr>
    </w:p>
    <w:sectPr>
      <w:pgSz w:w="11905" w:h="16838"/>
      <w:pgMar w:top="1361" w:right="1417" w:bottom="1361" w:left="1417"/>
    </w:sectPr>
  </w:body>
</w:document>
</file>

<file path=word/fontTable.xml><?xml version="1.0" encoding="utf-8"?>
<w:fonts xmlns:w="http://schemas.openxmlformats.org/wordprocessingml/2006/main"/>
</file>

<file path=word/numbering.xml><?xml version="1.0" encoding="utf-8"?>
<w:numbering xmlns:w="http://schemas.openxmlformats.org/wordprocessingml/2006/main">
  <w:abstractNum w:abstractNumId="1">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2">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3">
    <w:lvl w:ilvl="7">
      <w:start w:val="1"/>
      <w:numFmt w:val="lowerLetter"/>
      <w:lvlText w:val="%8."/>
      <w:pPr>
        <w:ind w:left="3416" w:hanging="336"/>
      </w:pPr>
    </w:lvl>
    <w:lvl w:ilvl="3">
      <w:start w:val="1"/>
      <w:numFmt w:val="decimal"/>
      <w:lvlText w:val="%4."/>
      <w:pPr>
        <w:ind w:left="1656" w:hanging="336"/>
      </w:pPr>
    </w:lvl>
    <w:lvl w:ilvl="0">
      <w:start w:val="1"/>
      <w:numFmt w:val="decimal"/>
      <w:lvlText w:val="%1）"/>
      <w:lvlJc w:val="left"/>
      <w:pPr>
        <w:ind w:left="336" w:hanging="336"/>
      </w:pPr>
      <w:rPr/>
    </w:lvl>
    <w:lvl w:ilvl="2">
      <w:start w:val="1"/>
      <w:numFmt w:val="lowerRoman"/>
      <w:lvlText w:val="%3."/>
      <w:pPr>
        <w:ind w:left="1216" w:hanging="336"/>
      </w:pPr>
    </w:lvl>
    <w:lvl w:ilvl="4">
      <w:start w:val="1"/>
      <w:numFmt w:val="lowerLetter"/>
      <w:lvlText w:val="%5."/>
      <w:pPr>
        <w:ind w:left="2096" w:hanging="336"/>
      </w:pPr>
    </w:lvl>
    <w:lvl w:ilvl="5">
      <w:start w:val="1"/>
      <w:numFmt w:val="lowerRoman"/>
      <w:lvlText w:val="%6."/>
      <w:pPr>
        <w:ind w:left="2536" w:hanging="336"/>
      </w:pPr>
    </w:lvl>
    <w:lvl w:ilvl="1">
      <w:start w:val="1"/>
      <w:numFmt w:val="lowerLetter"/>
      <w:lvlText w:val="%2."/>
      <w:pPr>
        <w:ind w:left="776" w:hanging="336"/>
      </w:pPr>
    </w:lvl>
    <w:lvl w:ilvl="6">
      <w:start w:val="1"/>
      <w:numFmt w:val="decimal"/>
      <w:lvlText w:val="%7."/>
      <w:pPr>
        <w:ind w:left="2976" w:hanging="336"/>
      </w:pPr>
    </w:lvl>
  </w:abstractNum>
  <w:abstractNum w:abstractNumId="4">
    <w:lvl w:ilvl="5">
      <w:start w:val="1"/>
      <w:numFmt w:val="lowerRoman"/>
      <w:lvlText w:val="%6."/>
      <w:lvlJc w:val="left"/>
      <w:pPr>
        <w:ind w:left="2536" w:hanging="336"/>
      </w:pPr>
    </w:lvl>
    <w:lvl w:ilvl="2">
      <w:start w:val="1"/>
      <w:numFmt w:val="lowerRoman"/>
      <w:lvlText w:val="%3."/>
      <w:lvlJc w:val="left"/>
      <w:pPr>
        <w:ind w:left="1216" w:hanging="336"/>
      </w:pPr>
    </w:lvl>
    <w:lvl w:ilvl="0">
      <w:start w:val="1"/>
      <w:numFmt w:val="decimal"/>
      <w:lvlText w:val="%1."/>
      <w:lvlJc w:val="left"/>
      <w:pPr>
        <w:ind w:left="336" w:hanging="336"/>
      </w:pPr>
      <w:rPr/>
    </w:lvl>
    <w:lvl w:ilvl="3">
      <w:start w:val="1"/>
      <w:numFmt w:val="decimal"/>
      <w:lvlText w:val="%4."/>
      <w:lvlJc w:val="left"/>
      <w:pPr>
        <w:ind w:left="1656" w:hanging="336"/>
      </w:pPr>
    </w:lvl>
    <w:lvl w:ilvl="7">
      <w:start w:val="1"/>
      <w:numFmt w:val="lowerLetter"/>
      <w:lvlText w:val="%8."/>
      <w:lvlJc w:val="left"/>
      <w:pPr>
        <w:ind w:left="3416" w:hanging="336"/>
      </w:pPr>
    </w:lvl>
    <w:lvl w:ilvl="8">
      <w:start w:val="1"/>
      <w:numFmt w:val="lowerRoman"/>
      <w:lvlText w:val="%9."/>
      <w:lvlJc w:val="left"/>
      <w:pPr>
        <w:ind w:left="3856" w:hanging="336"/>
      </w:pPr>
    </w:lvl>
    <w:lvl w:ilvl="6">
      <w:start w:val="1"/>
      <w:numFmt w:val="decimal"/>
      <w:lvlText w:val="%7."/>
      <w:lvlJc w:val="left"/>
      <w:pPr>
        <w:ind w:left="2976" w:hanging="336"/>
      </w:pPr>
    </w:lvl>
    <w:lvl w:ilvl="1">
      <w:start w:val="1"/>
      <w:numFmt w:val="lowerLetter"/>
      <w:lvlText w:val="%2."/>
      <w:lvlJc w:val="left"/>
      <w:pPr>
        <w:ind w:left="776" w:hanging="336"/>
      </w:pPr>
    </w:lvl>
    <w:lvl w:ilvl="4">
      <w:start w:val="1"/>
      <w:numFmt w:val="lowerLetter"/>
      <w:lvlText w:val="%5."/>
      <w:lvlJc w:val="left"/>
      <w:pPr>
        <w:ind w:left="2096" w:hanging="336"/>
      </w:pPr>
    </w:lvl>
  </w:abstractNum>
  <w:abstractNum w:abstractNumId="5">
    <w:lvl w:ilvl="0">
      <w:start w:val="1"/>
      <w:numFmt w:val="bullet"/>
      <w:lvlText w:val=""/>
      <w:lvlJc w:val="left"/>
      <w:pPr>
        <w:ind w:left="3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6">
    <w:lvl w:ilvl="7">
      <w:start w:val="1"/>
      <w:numFmt w:val="lowerLetter"/>
      <w:lvlText w:val="%8."/>
      <w:lvlJc w:val="left"/>
      <w:pPr>
        <w:ind w:left="3752" w:hanging="336"/>
      </w:pPr>
    </w:lvl>
    <w:lvl w:ilvl="5">
      <w:start w:val="1"/>
      <w:numFmt w:val="lowerRoman"/>
      <w:lvlText w:val="%6."/>
      <w:lvlJc w:val="left"/>
      <w:pPr>
        <w:ind w:left="2872" w:hanging="336"/>
      </w:pPr>
    </w:lvl>
    <w:lvl w:ilvl="0">
      <w:start w:val="1"/>
      <w:numFmt w:val="decimal"/>
      <w:lvlText w:val="%1."/>
      <w:lvlJc w:val="left"/>
      <w:pPr>
        <w:ind w:left="672" w:hanging="336"/>
      </w:pPr>
      <w:rPr/>
    </w:lvl>
    <w:lvl w:ilvl="4">
      <w:start w:val="1"/>
      <w:numFmt w:val="lowerLetter"/>
      <w:lvlText w:val="%5."/>
      <w:lvlJc w:val="left"/>
      <w:pPr>
        <w:ind w:left="2432" w:hanging="336"/>
      </w:pPr>
    </w:lvl>
    <w:lvl w:ilvl="1">
      <w:start w:val="1"/>
      <w:numFmt w:val="lowerLetter"/>
      <w:lvlText w:val="%2."/>
      <w:lvlJc w:val="left"/>
      <w:pPr>
        <w:ind w:left="1112" w:hanging="336"/>
      </w:pPr>
    </w:lvl>
    <w:lvl w:ilvl="6">
      <w:start w:val="1"/>
      <w:numFmt w:val="decimal"/>
      <w:lvlText w:val="%7."/>
      <w:lvlJc w:val="left"/>
      <w:pPr>
        <w:ind w:left="3312" w:hanging="336"/>
      </w:pPr>
    </w:lvl>
    <w:lvl w:ilvl="8">
      <w:start w:val="1"/>
      <w:numFmt w:val="lowerRoman"/>
      <w:lvlText w:val="%9."/>
      <w:lvlJc w:val="left"/>
      <w:pPr>
        <w:ind w:left="4192" w:hanging="336"/>
      </w:pPr>
    </w:lvl>
    <w:lvl w:ilvl="2">
      <w:start w:val="1"/>
      <w:numFmt w:val="lowerRoman"/>
      <w:lvlText w:val="%3."/>
      <w:lvlJc w:val="left"/>
      <w:pPr>
        <w:ind w:left="1552" w:hanging="336"/>
      </w:pPr>
    </w:lvl>
    <w:lvl w:ilvl="3">
      <w:start w:val="1"/>
      <w:numFmt w:val="decimal"/>
      <w:lvlText w:val="%4."/>
      <w:lvlJc w:val="left"/>
      <w:pPr>
        <w:ind w:left="1992" w:hanging="336"/>
      </w:pPr>
    </w:lvl>
  </w:abstractNum>
  <w:abstractNum w:abstractNumId="7">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8">
    <w:lvl w:ilvl="0">
      <w:start w:val="1"/>
      <w:numFmt w:val="decimal"/>
      <w:lvlText w:val="%1."/>
      <w:lvlJc w:val="left"/>
      <w:pPr>
        <w:ind w:left="336" w:hanging="336"/>
      </w:pPr>
      <w:rPr/>
    </w:lvl>
    <w:lvl w:ilvl="1">
      <w:start w:val="1"/>
      <w:numFmt w:val="decimal"/>
      <w:lvlText w:val="%1.%2."/>
      <w:lvlJc w:val="left"/>
      <w:pPr>
        <w:ind w:left="944" w:hanging="504"/>
      </w:pPr>
    </w:lvl>
    <w:lvl w:ilvl="4">
      <w:start w:val="1"/>
      <w:numFmt w:val="decimal"/>
      <w:lvlText w:val="%1.%2.%3.%4.%5."/>
      <w:lvlJc w:val="left"/>
      <w:pPr>
        <w:ind w:left="2768" w:hanging="1008"/>
      </w:pPr>
    </w:lvl>
    <w:lvl w:ilvl="2">
      <w:start w:val="1"/>
      <w:numFmt w:val="decimal"/>
      <w:lvlText w:val="%1.%2.%3."/>
      <w:lvlJc w:val="left"/>
      <w:pPr>
        <w:ind w:left="1552" w:hanging="672"/>
      </w:pPr>
    </w:lvl>
    <w:lvl w:ilvl="3">
      <w:start w:val="1"/>
      <w:numFmt w:val="decimal"/>
      <w:lvlText w:val="%1.%2.%3.%4."/>
      <w:lvlJc w:val="left"/>
      <w:pPr>
        <w:ind w:left="2160" w:hanging="840"/>
      </w:pPr>
    </w:lvl>
    <w:lvl w:ilvl="6">
      <w:start w:val="1"/>
      <w:numFmt w:val="decimal"/>
      <w:lvlText w:val="%1.%2.%3.%4.%5.%6.%7."/>
      <w:lvlJc w:val="left"/>
      <w:pPr>
        <w:ind w:left="3984" w:hanging="1344"/>
      </w:pPr>
    </w:lvl>
    <w:lvl w:ilvl="5">
      <w:start w:val="1"/>
      <w:numFmt w:val="decimal"/>
      <w:lvlText w:val="%1.%2.%3.%4.%5.%6."/>
      <w:lvlJc w:val="left"/>
      <w:pPr>
        <w:ind w:left="3376" w:hanging="1176"/>
      </w:pPr>
    </w:lvl>
    <w:lvl w:ilvl="7">
      <w:start w:val="1"/>
      <w:numFmt w:val="decimal"/>
      <w:lvlText w:val="%1.%2.%3.%4.%5.%6.%7.%8."/>
      <w:lvlJc w:val="left"/>
      <w:pPr>
        <w:ind w:left="4592" w:hanging="1512"/>
      </w:pPr>
    </w:lvl>
  </w:abstractNum>
  <w:abstractNum w:abstractNumId="9">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10">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11">
    <w:lvl w:ilvl="3">
      <w:start w:val="1"/>
      <w:numFmt w:val="decimal"/>
      <w:lvlText w:val="%4."/>
      <w:pPr>
        <w:ind w:left="1656" w:hanging="336"/>
      </w:pPr>
    </w:lvl>
    <w:lvl w:ilvl="5">
      <w:start w:val="1"/>
      <w:numFmt w:val="lowerRoman"/>
      <w:lvlText w:val="%6."/>
      <w:pPr>
        <w:ind w:left="2536" w:hanging="336"/>
      </w:pPr>
    </w:lvl>
    <w:lvl w:ilvl="4">
      <w:start w:val="1"/>
      <w:numFmt w:val="lowerLetter"/>
      <w:lvlText w:val="%5."/>
      <w:pPr>
        <w:ind w:left="2096" w:hanging="336"/>
      </w:pPr>
    </w:lvl>
    <w:lvl w:ilvl="6">
      <w:start w:val="1"/>
      <w:numFmt w:val="decimal"/>
      <w:lvlText w:val="%7."/>
      <w:pPr>
        <w:ind w:left="2976" w:hanging="336"/>
      </w:pPr>
    </w:lvl>
    <w:lvl w:ilvl="1">
      <w:start w:val="1"/>
      <w:numFmt w:val="lowerLetter"/>
      <w:lvlText w:val="%2."/>
      <w:pPr>
        <w:ind w:left="776" w:hanging="336"/>
      </w:pPr>
    </w:lvl>
    <w:lvl w:ilvl="2">
      <w:start w:val="1"/>
      <w:numFmt w:val="lowerRoman"/>
      <w:lvlText w:val="%3."/>
      <w:pPr>
        <w:ind w:left="1216" w:hanging="336"/>
      </w:pPr>
    </w:lvl>
    <w:lvl w:ilvl="7">
      <w:start w:val="1"/>
      <w:numFmt w:val="lowerLetter"/>
      <w:lvlText w:val="%8."/>
      <w:pPr>
        <w:ind w:left="3416" w:hanging="336"/>
      </w:pPr>
    </w:lvl>
    <w:lvl w:ilvl="0">
      <w:start w:val="1"/>
      <w:numFmt w:val="decimal"/>
      <w:lvlText w:val="%1）"/>
      <w:lvlJc w:val="left"/>
      <w:pPr>
        <w:ind w:left="336" w:hanging="336"/>
      </w:pPr>
      <w:rPr/>
    </w:lvl>
  </w:abstractNum>
  <w:abstractNum w:abstractNumId="12">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13">
    <w:lvl w:ilvl="7">
      <w:start w:val="1"/>
      <w:numFmt w:val="lowerLetter"/>
      <w:lvlText w:val="%8."/>
      <w:lvlJc w:val="left"/>
      <w:pPr>
        <w:ind w:left="3416" w:hanging="336"/>
      </w:pPr>
    </w:lvl>
    <w:lvl w:ilvl="3">
      <w:start w:val="1"/>
      <w:numFmt w:val="decimal"/>
      <w:lvlText w:val="%4."/>
      <w:lvlJc w:val="left"/>
      <w:pPr>
        <w:ind w:left="1656" w:hanging="336"/>
      </w:pPr>
    </w:lvl>
    <w:lvl w:ilvl="1">
      <w:start w:val="1"/>
      <w:numFmt w:val="lowerLetter"/>
      <w:lvlText w:val="%2."/>
      <w:lvlJc w:val="left"/>
      <w:pPr>
        <w:ind w:left="776" w:hanging="336"/>
      </w:pPr>
    </w:lvl>
    <w:lvl w:ilvl="0">
      <w:start w:val="1"/>
      <w:numFmt w:val="decimal"/>
      <w:lvlText w:val="%1."/>
      <w:lvlJc w:val="left"/>
      <w:pPr>
        <w:ind w:left="336" w:hanging="336"/>
      </w:pPr>
      <w:rPr/>
    </w:lvl>
    <w:lvl w:ilvl="8">
      <w:start w:val="1"/>
      <w:numFmt w:val="lowerRoman"/>
      <w:lvlText w:val="%9."/>
      <w:lvlJc w:val="left"/>
      <w:pPr>
        <w:ind w:left="3856" w:hanging="336"/>
      </w:pPr>
    </w:lvl>
    <w:lvl w:ilvl="2">
      <w:start w:val="1"/>
      <w:numFmt w:val="lowerRoman"/>
      <w:lvlText w:val="%3."/>
      <w:lvlJc w:val="left"/>
      <w:pPr>
        <w:ind w:left="121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abstractNum>
  <w:abstractNum w:abstractNumId="14">
    <w:lvl w:ilvl="8">
      <w:start w:val="1"/>
      <w:numFmt w:val="lowerRoman"/>
      <w:lvlText w:val="%9)"/>
      <w:lvlJc w:val="left"/>
      <w:pPr>
        <w:ind w:left="3856" w:hanging="336"/>
      </w:pPr>
    </w:lvl>
    <w:lvl w:ilvl="2">
      <w:start w:val="1"/>
      <w:numFmt w:val="lowerRoman"/>
      <w:lvlText w:val="%3)"/>
      <w:lvlJc w:val="left"/>
      <w:pPr>
        <w:ind w:left="1216" w:hanging="336"/>
      </w:pPr>
    </w:lvl>
    <w:lvl w:ilvl="7">
      <w:start w:val="1"/>
      <w:numFmt w:val="lowerLetter"/>
      <w:lvlText w:val="%8)"/>
      <w:lvlJc w:val="left"/>
      <w:pPr>
        <w:ind w:left="3416" w:hanging="336"/>
      </w:pPr>
    </w:lvl>
    <w:lvl w:ilvl="3">
      <w:start w:val="1"/>
      <w:numFmt w:val="decimal"/>
      <w:lvlText w:val="%4、"/>
      <w:lvlJc w:val="left"/>
      <w:pPr>
        <w:ind w:left="1656" w:hanging="336"/>
      </w:pPr>
    </w:lvl>
    <w:lvl w:ilvl="1">
      <w:start w:val="1"/>
      <w:numFmt w:val="lowerLetter"/>
      <w:lvlText w:val="%2)"/>
      <w:lvlJc w:val="left"/>
      <w:pPr>
        <w:ind w:left="776" w:hanging="336"/>
      </w:pPr>
    </w:lvl>
    <w:lvl w:ilvl="5">
      <w:start w:val="1"/>
      <w:numFmt w:val="lowerRoman"/>
      <w:lvlText w:val="%6)"/>
      <w:lvlJc w:val="left"/>
      <w:pPr>
        <w:ind w:left="2536" w:hanging="336"/>
      </w:pPr>
    </w:lvl>
    <w:lvl w:ilvl="6">
      <w:start w:val="1"/>
      <w:numFmt w:val="decimal"/>
      <w:lvlText w:val="%7、"/>
      <w:lvlJc w:val="left"/>
      <w:pPr>
        <w:ind w:left="2976" w:hanging="336"/>
      </w:pPr>
    </w:lvl>
    <w:lvl w:ilvl="4">
      <w:start w:val="1"/>
      <w:numFmt w:val="lowerLetter"/>
      <w:lvlText w:val="%5)"/>
      <w:lvlJc w:val="left"/>
      <w:pPr>
        <w:ind w:left="2096" w:hanging="336"/>
      </w:pPr>
    </w:lvl>
    <w:lvl w:ilvl="0">
      <w:start w:val="2"/>
      <w:numFmt w:val="decimal"/>
      <w:lvlText w:val="%1、"/>
      <w:lvlJc w:val="left"/>
      <w:pPr>
        <w:ind w:left="336" w:hanging="336"/>
      </w:pPr>
      <w:rPr/>
    </w:lvl>
  </w:abstractNum>
  <w:abstractNum w:abstractNumId="15">
    <w:lvl w:ilvl="1">
      <w:start w:val="1"/>
      <w:numFmt w:val="lowerLetter"/>
      <w:lvlText w:val="%2."/>
      <w:lvlJc w:val="left"/>
      <w:pPr>
        <w:ind w:left="776" w:hanging="336"/>
      </w:pPr>
    </w:lvl>
    <w:lvl w:ilvl="2">
      <w:start w:val="1"/>
      <w:numFmt w:val="lowerRoman"/>
      <w:lvlText w:val="%3."/>
      <w:lvlJc w:val="left"/>
      <w:pPr>
        <w:ind w:left="1216" w:hanging="336"/>
      </w:pPr>
    </w:lvl>
    <w:lvl w:ilvl="0">
      <w:start w:val="1"/>
      <w:numFmt w:val="decimal"/>
      <w:lvlText w:val="%1."/>
      <w:lvlJc w:val="left"/>
      <w:pPr>
        <w:ind w:left="336" w:hanging="336"/>
      </w:pPr>
      <w:rPr/>
    </w:lvl>
    <w:lvl w:ilvl="7">
      <w:start w:val="1"/>
      <w:numFmt w:val="lowerLetter"/>
      <w:lvlText w:val="%8."/>
      <w:lvlJc w:val="left"/>
      <w:pPr>
        <w:ind w:left="3416" w:hanging="336"/>
      </w:pPr>
    </w:lvl>
    <w:lvl w:ilvl="4">
      <w:start w:val="1"/>
      <w:numFmt w:val="lowerLetter"/>
      <w:lvlText w:val="%5."/>
      <w:lvlJc w:val="left"/>
      <w:pPr>
        <w:ind w:left="2096" w:hanging="336"/>
      </w:pPr>
    </w:lvl>
    <w:lvl w:ilvl="3">
      <w:start w:val="1"/>
      <w:numFmt w:val="decimal"/>
      <w:lvlText w:val="%4."/>
      <w:lvlJc w:val="left"/>
      <w:pPr>
        <w:ind w:left="1656" w:hanging="336"/>
      </w:pPr>
    </w:lvl>
    <w:lvl w:ilvl="5">
      <w:start w:val="1"/>
      <w:numFmt w:val="lowerRoman"/>
      <w:lvlText w:val="%6."/>
      <w:lvlJc w:val="left"/>
      <w:pPr>
        <w:ind w:left="2536" w:hanging="336"/>
      </w:pPr>
    </w:lvl>
    <w:lvl w:ilvl="6">
      <w:start w:val="1"/>
      <w:numFmt w:val="decimal"/>
      <w:lvlText w:val="%7."/>
      <w:lvlJc w:val="left"/>
      <w:pPr>
        <w:ind w:left="2976" w:hanging="336"/>
      </w:pPr>
    </w:lvl>
    <w:lvl w:ilvl="8">
      <w:start w:val="1"/>
      <w:numFmt w:val="lowerRoman"/>
      <w:lvlText w:val="%9."/>
      <w:lvlJc w:val="left"/>
      <w:pPr>
        <w:ind w:left="3856" w:hanging="336"/>
      </w:pPr>
    </w:lvl>
  </w:abstractNum>
  <w:abstractNum w:abstractNumId="16">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17">
    <w:lvl w:ilvl="3">
      <w:start w:val="1"/>
      <w:numFmt w:val="decimal"/>
      <w:lvlText w:val="%4."/>
      <w:pPr>
        <w:ind w:left="1656" w:hanging="336"/>
      </w:pPr>
    </w:lvl>
    <w:lvl w:ilvl="2">
      <w:start w:val="1"/>
      <w:numFmt w:val="lowerRoman"/>
      <w:lvlText w:val="%3."/>
      <w:pPr>
        <w:ind w:left="1216" w:hanging="336"/>
      </w:pPr>
    </w:lvl>
    <w:lvl w:ilvl="6">
      <w:start w:val="1"/>
      <w:numFmt w:val="decimal"/>
      <w:lvlText w:val="%7."/>
      <w:pPr>
        <w:ind w:left="2976" w:hanging="336"/>
      </w:pPr>
    </w:lvl>
    <w:lvl w:ilvl="7">
      <w:start w:val="1"/>
      <w:numFmt w:val="lowerLetter"/>
      <w:lvlText w:val="%8."/>
      <w:pPr>
        <w:ind w:left="3416" w:hanging="336"/>
      </w:pPr>
    </w:lvl>
    <w:lvl w:ilvl="4">
      <w:start w:val="1"/>
      <w:numFmt w:val="lowerLetter"/>
      <w:lvlText w:val="%5."/>
      <w:pPr>
        <w:ind w:left="2096" w:hanging="336"/>
      </w:pPr>
    </w:lvl>
    <w:lvl w:ilvl="5">
      <w:start w:val="1"/>
      <w:numFmt w:val="lowerRoman"/>
      <w:lvlText w:val="%6."/>
      <w:pPr>
        <w:ind w:left="2536" w:hanging="336"/>
      </w:pPr>
    </w:lvl>
    <w:lvl w:ilvl="0">
      <w:start w:val="1"/>
      <w:numFmt w:val="decimal"/>
      <w:lvlText w:val="%1）"/>
      <w:lvlJc w:val="left"/>
      <w:pPr>
        <w:ind w:left="336" w:hanging="336"/>
      </w:pPr>
      <w:rPr/>
    </w:lvl>
    <w:lvl w:ilvl="1">
      <w:start w:val="1"/>
      <w:numFmt w:val="lowerLetter"/>
      <w:lvlText w:val="%2."/>
      <w:pPr>
        <w:ind w:left="776" w:hanging="336"/>
      </w:pPr>
    </w:lvl>
  </w:abstractNum>
  <w:abstractNum w:abstractNumId="18">
    <w:lvl w:ilvl="4">
      <w:start w:val="1"/>
      <w:numFmt w:val="lowerLetter"/>
      <w:lvlText w:val="%5."/>
      <w:pPr>
        <w:ind w:left="2096" w:hanging="336"/>
      </w:pPr>
    </w:lvl>
    <w:lvl w:ilvl="2">
      <w:start w:val="1"/>
      <w:numFmt w:val="lowerRoman"/>
      <w:lvlText w:val="%3."/>
      <w:pPr>
        <w:ind w:left="1216" w:hanging="336"/>
      </w:pPr>
    </w:lvl>
    <w:lvl w:ilvl="0">
      <w:start w:val="1"/>
      <w:numFmt w:val="decimal"/>
      <w:lvlText w:val="%1）"/>
      <w:lvlJc w:val="left"/>
      <w:pPr>
        <w:ind w:left="336" w:hanging="336"/>
      </w:pPr>
      <w:rPr/>
    </w:lvl>
    <w:lvl w:ilvl="1">
      <w:start w:val="1"/>
      <w:numFmt w:val="lowerLetter"/>
      <w:lvlText w:val="%2."/>
      <w:pPr>
        <w:ind w:left="776" w:hanging="336"/>
      </w:pPr>
    </w:lvl>
    <w:lvl w:ilvl="7">
      <w:start w:val="1"/>
      <w:numFmt w:val="lowerLetter"/>
      <w:lvlText w:val="%8."/>
      <w:pPr>
        <w:ind w:left="3416" w:hanging="336"/>
      </w:pPr>
    </w:lvl>
    <w:lvl w:ilvl="5">
      <w:start w:val="1"/>
      <w:numFmt w:val="lowerRoman"/>
      <w:lvlText w:val="%6."/>
      <w:pPr>
        <w:ind w:left="2536" w:hanging="336"/>
      </w:pPr>
    </w:lvl>
    <w:lvl w:ilvl="3">
      <w:start w:val="1"/>
      <w:numFmt w:val="decimal"/>
      <w:lvlText w:val="%4."/>
      <w:pPr>
        <w:ind w:left="1656" w:hanging="336"/>
      </w:pPr>
    </w:lvl>
    <w:lvl w:ilvl="6">
      <w:start w:val="1"/>
      <w:numFmt w:val="decimal"/>
      <w:lvlText w:val="%7."/>
      <w:pPr>
        <w:ind w:left="2976" w:hanging="336"/>
      </w:pPr>
    </w:lvl>
  </w:abstractNum>
  <w:abstractNum w:abstractNumId="19">
    <w:lvl w:ilvl="1">
      <w:start w:val="1"/>
      <w:numFmt w:val="lowerLetter"/>
      <w:lvlText w:val="%2."/>
      <w:pPr>
        <w:ind w:left="776" w:hanging="336"/>
      </w:pPr>
    </w:lvl>
    <w:lvl w:ilvl="4">
      <w:start w:val="1"/>
      <w:numFmt w:val="lowerLetter"/>
      <w:lvlText w:val="%5."/>
      <w:pPr>
        <w:ind w:left="2096" w:hanging="336"/>
      </w:pPr>
    </w:lvl>
    <w:lvl w:ilvl="3">
      <w:start w:val="1"/>
      <w:numFmt w:val="decimal"/>
      <w:lvlText w:val="%4."/>
      <w:pPr>
        <w:ind w:left="1656" w:hanging="336"/>
      </w:pPr>
    </w:lvl>
    <w:lvl w:ilvl="6">
      <w:start w:val="1"/>
      <w:numFmt w:val="decimal"/>
      <w:lvlText w:val="%7."/>
      <w:pPr>
        <w:ind w:left="2976" w:hanging="336"/>
      </w:pPr>
    </w:lvl>
    <w:lvl w:ilvl="0">
      <w:start w:val="1"/>
      <w:numFmt w:val="decimal"/>
      <w:lvlText w:val="%1）"/>
      <w:lvlJc w:val="left"/>
      <w:pPr>
        <w:ind w:left="336" w:hanging="336"/>
      </w:pPr>
      <w:rPr/>
    </w:lvl>
    <w:lvl w:ilvl="7">
      <w:start w:val="1"/>
      <w:numFmt w:val="lowerLetter"/>
      <w:lvlText w:val="%8."/>
      <w:pPr>
        <w:ind w:left="3416" w:hanging="336"/>
      </w:pPr>
    </w:lvl>
    <w:lvl w:ilvl="5">
      <w:start w:val="1"/>
      <w:numFmt w:val="lowerRoman"/>
      <w:lvlText w:val="%6."/>
      <w:pPr>
        <w:ind w:left="2536" w:hanging="336"/>
      </w:pPr>
    </w:lvl>
    <w:lvl w:ilvl="2">
      <w:start w:val="1"/>
      <w:numFmt w:val="lowerRoman"/>
      <w:lvlText w:val="%3."/>
      <w:pPr>
        <w:ind w:left="1216" w:hanging="336"/>
      </w:pPr>
    </w:lvl>
  </w:abstractNum>
  <w:abstractNum w:abstractNumId="20">
    <w:lvl w:ilvl="8">
      <w:start w:val="1"/>
      <w:numFmt w:val="lowerRoman"/>
      <w:lvlText w:val="%9."/>
      <w:lvlJc w:val="left"/>
      <w:pPr>
        <w:ind w:left="3856" w:hanging="336"/>
      </w:pPr>
    </w:lvl>
    <w:lvl w:ilvl="0">
      <w:start w:val="1"/>
      <w:numFmt w:val="decimal"/>
      <w:lvlText w:val="%1."/>
      <w:lvlJc w:val="left"/>
      <w:pPr>
        <w:ind w:left="336" w:hanging="336"/>
      </w:pPr>
      <w:rPr/>
    </w:lvl>
    <w:lvl w:ilvl="6">
      <w:start w:val="1"/>
      <w:numFmt w:val="decimal"/>
      <w:lvlText w:val="%7."/>
      <w:lvlJc w:val="left"/>
      <w:pPr>
        <w:ind w:left="2976" w:hanging="336"/>
      </w:pPr>
    </w:lvl>
    <w:lvl w:ilvl="4">
      <w:start w:val="1"/>
      <w:numFmt w:val="lowerLetter"/>
      <w:lvlText w:val="%5."/>
      <w:lvlJc w:val="left"/>
      <w:pPr>
        <w:ind w:left="2096" w:hanging="336"/>
      </w:pPr>
    </w:lvl>
    <w:lvl w:ilvl="1">
      <w:start w:val="1"/>
      <w:numFmt w:val="lowerLetter"/>
      <w:lvlText w:val="%2."/>
      <w:lvlJc w:val="left"/>
      <w:pPr>
        <w:ind w:left="776" w:hanging="336"/>
      </w:pPr>
    </w:lvl>
    <w:lvl w:ilvl="3">
      <w:start w:val="1"/>
      <w:numFmt w:val="decimal"/>
      <w:lvlText w:val="%4."/>
      <w:lvlJc w:val="left"/>
      <w:pPr>
        <w:ind w:left="1656" w:hanging="336"/>
      </w:pPr>
    </w:lvl>
    <w:lvl w:ilvl="5">
      <w:start w:val="1"/>
      <w:numFmt w:val="lowerRoman"/>
      <w:lvlText w:val="%6."/>
      <w:lvlJc w:val="left"/>
      <w:pPr>
        <w:ind w:left="2536" w:hanging="336"/>
      </w:pPr>
    </w:lvl>
    <w:lvl w:ilvl="7">
      <w:start w:val="1"/>
      <w:numFmt w:val="lowerLetter"/>
      <w:lvlText w:val="%8."/>
      <w:lvlJc w:val="left"/>
      <w:pPr>
        <w:ind w:left="3416" w:hanging="336"/>
      </w:pPr>
    </w:lvl>
    <w:lvl w:ilvl="2">
      <w:start w:val="1"/>
      <w:numFmt w:val="lowerRoman"/>
      <w:lvlText w:val="%3."/>
      <w:lvlJc w:val="left"/>
      <w:pPr>
        <w:ind w:left="1216" w:hanging="336"/>
      </w:pPr>
    </w:lvl>
  </w:abstractNum>
  <w:abstractNum w:abstractNumId="21">
    <w:lvl w:ilvl="3">
      <w:start w:val="1"/>
      <w:numFmt w:val="decimal"/>
      <w:lvlText w:val="%4."/>
      <w:pPr>
        <w:ind w:left="1656" w:hanging="336"/>
      </w:pPr>
    </w:lvl>
    <w:lvl w:ilvl="4">
      <w:start w:val="1"/>
      <w:numFmt w:val="lowerLetter"/>
      <w:lvlText w:val="%5."/>
      <w:pPr>
        <w:ind w:left="2096" w:hanging="336"/>
      </w:pPr>
    </w:lvl>
    <w:lvl w:ilvl="0">
      <w:start w:val="1"/>
      <w:numFmt w:val="decimal"/>
      <w:lvlText w:val="%1）"/>
      <w:lvlJc w:val="left"/>
      <w:pPr>
        <w:ind w:left="336" w:hanging="336"/>
      </w:pPr>
      <w:rPr/>
    </w:lvl>
    <w:lvl w:ilvl="1">
      <w:start w:val="1"/>
      <w:numFmt w:val="lowerLetter"/>
      <w:lvlText w:val="%2."/>
      <w:pPr>
        <w:ind w:left="776" w:hanging="336"/>
      </w:pPr>
    </w:lvl>
    <w:lvl w:ilvl="2">
      <w:start w:val="1"/>
      <w:numFmt w:val="lowerRoman"/>
      <w:lvlText w:val="%3."/>
      <w:pPr>
        <w:ind w:left="1216" w:hanging="336"/>
      </w:pPr>
    </w:lvl>
    <w:lvl w:ilvl="5">
      <w:start w:val="1"/>
      <w:numFmt w:val="lowerRoman"/>
      <w:lvlText w:val="%6."/>
      <w:pPr>
        <w:ind w:left="2536" w:hanging="336"/>
      </w:pPr>
    </w:lvl>
    <w:lvl w:ilvl="6">
      <w:start w:val="1"/>
      <w:numFmt w:val="decimal"/>
      <w:lvlText w:val="%7."/>
      <w:pPr>
        <w:ind w:left="2976" w:hanging="336"/>
      </w:pPr>
    </w:lvl>
    <w:lvl w:ilvl="7">
      <w:start w:val="1"/>
      <w:numFmt w:val="lowerLetter"/>
      <w:lvlText w:val="%8."/>
      <w:pPr>
        <w:ind w:left="3416" w:hanging="336"/>
      </w:pPr>
    </w:lvl>
  </w:abstractNum>
  <w:abstractNum w:abstractNumId="22">
    <w:lvl w:ilvl="3">
      <w:start w:val="1"/>
      <w:numFmt w:val="decimal"/>
      <w:lvlText w:val="%4."/>
      <w:lvlJc w:val="left"/>
      <w:pPr>
        <w:ind w:left="1656" w:hanging="336"/>
      </w:pPr>
    </w:lvl>
    <w:lvl w:ilvl="6">
      <w:start w:val="1"/>
      <w:numFmt w:val="decimal"/>
      <w:lvlText w:val="%7."/>
      <w:lvlJc w:val="left"/>
      <w:pPr>
        <w:ind w:left="2976" w:hanging="336"/>
      </w:pPr>
    </w:lvl>
    <w:lvl w:ilvl="0">
      <w:start w:val="1"/>
      <w:numFmt w:val="decimal"/>
      <w:lvlText w:val="%1."/>
      <w:lvlJc w:val="left"/>
      <w:pPr>
        <w:ind w:left="336" w:hanging="336"/>
      </w:pPr>
      <w:rPr/>
    </w:lvl>
    <w:lvl w:ilvl="2">
      <w:start w:val="1"/>
      <w:numFmt w:val="lowerRoman"/>
      <w:lvlText w:val="%3."/>
      <w:lvlJc w:val="left"/>
      <w:pPr>
        <w:ind w:left="1216" w:hanging="336"/>
      </w:pPr>
    </w:lvl>
    <w:lvl w:ilvl="1">
      <w:start w:val="1"/>
      <w:numFmt w:val="lowerLetter"/>
      <w:lvlText w:val="%2."/>
      <w:lvlJc w:val="left"/>
      <w:pPr>
        <w:ind w:left="776" w:hanging="336"/>
      </w:pPr>
    </w:lvl>
    <w:lvl w:ilvl="7">
      <w:start w:val="1"/>
      <w:numFmt w:val="lowerLetter"/>
      <w:lvlText w:val="%8."/>
      <w:lvlJc w:val="left"/>
      <w:pPr>
        <w:ind w:left="3416" w:hanging="336"/>
      </w:pPr>
    </w:lvl>
    <w:lvl w:ilvl="5">
      <w:start w:val="1"/>
      <w:numFmt w:val="lowerRoman"/>
      <w:lvlText w:val="%6."/>
      <w:lvlJc w:val="left"/>
      <w:pPr>
        <w:ind w:left="2536" w:hanging="336"/>
      </w:pPr>
    </w:lvl>
    <w:lvl w:ilvl="4">
      <w:start w:val="1"/>
      <w:numFmt w:val="lowerLetter"/>
      <w:lvlText w:val="%5."/>
      <w:lvlJc w:val="left"/>
      <w:pPr>
        <w:ind w:left="2096" w:hanging="336"/>
      </w:pPr>
    </w:lvl>
    <w:lvl w:ilvl="8">
      <w:start w:val="1"/>
      <w:numFmt w:val="lowerRoman"/>
      <w:lvlText w:val="%9."/>
      <w:lvlJc w:val="left"/>
      <w:pPr>
        <w:ind w:left="3856" w:hanging="336"/>
      </w:pPr>
    </w:lvl>
  </w:abstractNum>
  <w:abstractNum w:abstractNumId="23">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24">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25">
    <w:lvl w:ilvl="6">
      <w:start w:val="1"/>
      <w:numFmt w:val="decimal"/>
      <w:lvlText w:val="%7."/>
      <w:pPr>
        <w:ind w:left="2976" w:hanging="336"/>
      </w:pPr>
      <w:rPr>
        <w:rFonts/>
      </w:rPr>
    </w:lvl>
    <w:lvl w:ilvl="1">
      <w:start w:val="1"/>
      <w:numFmt w:val="lowerLetter"/>
      <w:lvlText w:val="%2."/>
      <w:pPr>
        <w:ind w:left="776" w:hanging="336"/>
      </w:pPr>
      <w:rPr>
        <w:rFonts/>
      </w:rPr>
    </w:lvl>
    <w:lvl w:ilvl="5">
      <w:start w:val="1"/>
      <w:numFmt w:val="lowerRoman"/>
      <w:lvlText w:val="%6."/>
      <w:pPr>
        <w:ind w:left="2536" w:hanging="336"/>
      </w:pPr>
      <w:rPr>
        <w:rFonts/>
      </w:rPr>
    </w:lvl>
    <w:lvl w:ilvl="2">
      <w:start w:val="1"/>
      <w:numFmt w:val="lowerRoman"/>
      <w:lvlText w:val="%3."/>
      <w:pPr>
        <w:ind w:left="1216" w:hanging="336"/>
      </w:pPr>
      <w:rPr>
        <w:rFonts/>
      </w:rPr>
    </w:lvl>
    <w:lvl w:ilvl="0">
      <w:start w:val="1"/>
      <w:numFmt w:val="decimal"/>
      <w:lvlText w:val="%1）"/>
      <w:lvlJc w:val="left"/>
      <w:pPr>
        <w:ind w:left="336" w:hanging="336"/>
      </w:pPr>
      <w:rPr>
        <w:rFonts/>
      </w:rPr>
    </w:lvl>
    <w:lvl w:ilvl="4">
      <w:start w:val="1"/>
      <w:numFmt w:val="lowerLetter"/>
      <w:lvlText w:val="%5."/>
      <w:pPr>
        <w:ind w:left="2096" w:hanging="336"/>
      </w:pPr>
      <w:rPr>
        <w:rFonts/>
      </w:rPr>
    </w:lvl>
    <w:lvl w:ilvl="3">
      <w:start w:val="1"/>
      <w:numFmt w:val="decimal"/>
      <w:lvlText w:val="%4."/>
      <w:pPr>
        <w:ind w:left="1656" w:hanging="336"/>
      </w:pPr>
      <w:rPr>
        <w:rFonts/>
      </w:rPr>
    </w:lvl>
    <w:lvl w:ilvl="7">
      <w:start w:val="1"/>
      <w:numFmt w:val="lowerLetter"/>
      <w:lvlText w:val="%8."/>
      <w:pPr>
        <w:ind w:left="3416" w:hanging="336"/>
      </w:pPr>
      <w:rPr>
        <w:rFonts/>
      </w:rPr>
    </w:lvl>
  </w:abstractNum>
  <w:num w:numId="4">
    <w:abstractNumId w:val="22"/>
  </w:num>
  <w:num w:numId="24">
    <w:abstractNumId w:val="1"/>
  </w:num>
  <w:num w:numId="20">
    <w:abstractNumId w:val="12"/>
  </w:num>
  <w:num w:numId="23">
    <w:abstractNumId w:val="19"/>
  </w:num>
  <w:num w:numId="14">
    <w:abstractNumId w:val="5"/>
  </w:num>
  <w:num w:numId="12">
    <w:abstractNumId w:val="21"/>
  </w:num>
  <w:num w:numId="13">
    <w:abstractNumId w:val="24"/>
  </w:num>
  <w:num w:numId="7">
    <w:abstractNumId w:val="13"/>
  </w:num>
  <w:num w:numId="3">
    <w:abstractNumId w:val="4"/>
  </w:num>
  <w:num w:numId="1">
    <w:abstractNumId w:val="8"/>
  </w:num>
  <w:num w:numId="10">
    <w:abstractNumId w:val="3"/>
  </w:num>
  <w:num w:numId="21">
    <w:abstractNumId w:val="18"/>
  </w:num>
  <w:num w:numId="17">
    <w:abstractNumId w:val="23"/>
  </w:num>
  <w:num w:numId="9">
    <w:abstractNumId w:val="11"/>
  </w:num>
  <w:num w:numId="6">
    <w:abstractNumId w:val="6"/>
  </w:num>
  <w:num w:numId="15">
    <w:abstractNumId w:val="10"/>
  </w:num>
  <w:num w:numId="2">
    <w:abstractNumId w:val="14"/>
  </w:num>
  <w:num w:numId="18">
    <w:abstractNumId w:val="16"/>
  </w:num>
  <w:num w:numId="19">
    <w:abstractNumId w:val="9"/>
  </w:num>
  <w:num w:numId="22">
    <w:abstractNumId w:val="2"/>
  </w:num>
  <w:num w:numId="25">
    <w:abstractNumId w:val="25"/>
  </w:num>
  <w:num w:numId="11">
    <w:abstractNumId w:val="17"/>
  </w:num>
  <w:num w:numId="5">
    <w:abstractNumId w:val="20"/>
  </w:num>
  <w:num w:numId="8">
    <w:abstractNumId w:val="15"/>
  </w:num>
  <w:num w:numId="16">
    <w:abstractNumId w:val="7"/>
  </w:num>
</w:numbering>
</file>

<file path=word/settings.xml><?xml version="1.0" encoding="utf-8"?>
<w:settings xmlns:w="http://schemas.openxmlformats.org/wordprocessingml/2006/main"/>
</file>

<file path=word/styles.xml><?xml version="1.0" encoding="utf-8"?>
<w:styles xmlns:w="http://schemas.openxmlformats.org/wordprocessingml/2006/main">
  <w:docDefaults>
    <w:rPrDefault>
      <w:rPr>
        <w:rFonts w:ascii="minorHAnsi" w:hAnsi="minorHAnsi" w:eastAsia="minorEastAsia" w:cstheme="minorBidi"/>
        <w:color w:val="333333"/>
        <w:kern w:val="2"/>
        <w:sz w:val="22"/>
        <w:szCs w:val="22"/>
      </w:rPr>
    </w:rPrDefault>
    <w:pPrDefault>
      <w:pPr>
        <w:snapToGrid w:val="false"/>
        <w:spacing w:before="60" w:after="60" w:line="312" w:lineRule="auto"/>
      </w:pPr>
    </w:pPrDefault>
  </w:docDefaults>
  <w:style w:type="paragraph" w:styleId="ablt93" w:default="true">
    <w:name w:val="Normal"/>
    <w:pPr>
      <w:widowControl w:val="false"/>
      <w:jc w:val="left"/>
    </w:pPr>
  </w:style>
  <w:style w:type="character" w:styleId="7ho2ix">
    <w:name w:val="Hyperlink"/>
    <w:basedOn w:val="o6x5yj"/>
    <w:next w:val=""/>
    <w:uiPriority w:val="99"/>
    <w:unhideWhenUsed/>
    <w:rPr>
      <w:color w:val="1E6FFF" w:themeColor="hyperlink"/>
      <w:u w:val="single"/>
    </w:rPr>
  </w:style>
  <w:style w:type="paragraph" w:styleId="1w583x">
    <w:name w:val="heading 4"/>
    <w:basedOn w:val="ablt93"/>
    <w:next w:val="ablt93"/>
    <w:uiPriority w:val="9"/>
    <w:qFormat/>
    <w:pPr>
      <w:keepNext/>
      <w:keepLines/>
      <w:spacing w:before="0" w:after="0" w:line="408" w:lineRule="auto"/>
      <w:outlineLvl w:val="3"/>
    </w:pPr>
    <w:rPr>
      <w:b/>
      <w:bCs/>
      <w:color w:val="1A1A1A"/>
      <w:sz w:val="24"/>
      <w:szCs w:val="24"/>
    </w:rPr>
  </w:style>
  <w:style w:type="table" w:styleId="iucvan" w:default="true">
    <w:name w:val="Normal Table"/>
    <w:basedOn w:val=""/>
    <w:next w:val=""/>
    <w:uiPriority w:val="99"/>
    <w:semiHidden/>
    <w:unhideWhenUsed/>
    <w:tblPr>
      <w:tblInd w:w="0" w:type="dxa"/>
      <w:tblCellMar>
        <w:top w:w="0" w:type="dxa"/>
        <w:left w:w="108" w:type="dxa"/>
        <w:bottom w:w="0" w:type="dxa"/>
        <w:right w:w="108" w:type="dxa"/>
      </w:tblCellMar>
    </w:tblPr>
  </w:style>
  <w:style w:type="paragraph" w:styleId="rkcc7u">
    <w:name w:val="heading 2"/>
    <w:basedOn w:val="ablt93"/>
    <w:next w:val="ablt93"/>
    <w:uiPriority w:val="9"/>
    <w:qFormat/>
    <w:pPr>
      <w:keepNext/>
      <w:keepLines/>
      <w:spacing w:before="0" w:after="0" w:line="408" w:lineRule="auto"/>
      <w:outlineLvl w:val="1"/>
    </w:pPr>
    <w:rPr>
      <w:b/>
      <w:bCs/>
      <w:color w:val="1A1A1A"/>
      <w:sz w:val="32"/>
      <w:szCs w:val="32"/>
    </w:rPr>
  </w:style>
  <w:style w:type="paragraph" w:styleId="zesc86">
    <w:name w:val="heading 3"/>
    <w:basedOn w:val="ablt93"/>
    <w:next w:val="ablt93"/>
    <w:uiPriority w:val="9"/>
    <w:qFormat/>
    <w:pPr>
      <w:keepNext/>
      <w:keepLines/>
      <w:spacing w:before="0" w:after="0" w:line="408" w:lineRule="auto"/>
      <w:outlineLvl w:val="2"/>
    </w:pPr>
    <w:rPr>
      <w:b/>
      <w:bCs/>
      <w:color w:val="1A1A1A"/>
      <w:sz w:val="28"/>
      <w:szCs w:val="28"/>
    </w:rPr>
  </w:style>
  <w:style w:type="paragraph" w:styleId="gyd6uq">
    <w:name w:val="heading 1"/>
    <w:basedOn w:val="ablt93"/>
    <w:next w:val="ablt93"/>
    <w:uiPriority w:val="9"/>
    <w:qFormat/>
    <w:pPr>
      <w:keepNext/>
      <w:keepLines/>
      <w:spacing w:before="0" w:after="0" w:line="408" w:lineRule="auto"/>
      <w:outlineLvl w:val="0"/>
    </w:pPr>
    <w:rPr>
      <w:b/>
      <w:bCs/>
      <w:color w:val="1A1A1A"/>
      <w:sz w:val="36"/>
      <w:szCs w:val="36"/>
    </w:rPr>
  </w:style>
  <w:style w:type="character" w:styleId="o6x5yj" w:default="true">
    <w:name w:val="Default Paragraph Font"/>
    <w:basedOn w:val=""/>
    <w:next w:val=""/>
    <w:uiPriority w:val="1"/>
    <w:semiHidden/>
    <w:unhideWhenUsed/>
  </w:style>
  <w:style w:type="table" w:styleId="vqngml">
    <w:name w:val="Table Grid"/>
    <w:basedOn w:val="iucvan"/>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rdbvau">
    <w:name w:val="Title"/>
    <w:basedOn w:val="ablt93"/>
    <w:next w:val="ablt93"/>
    <w:uiPriority w:val="9"/>
    <w:qFormat/>
    <w:pPr>
      <w:keepNext/>
      <w:keepLines/>
      <w:spacing w:before="0" w:after="0" w:line="408" w:lineRule="auto"/>
      <w:jc w:val="center"/>
      <w:outlineLvl w:val="0"/>
    </w:pPr>
    <w:rPr>
      <w:b/>
      <w:bCs/>
      <w:color w:val="1A1A1A"/>
      <w:sz w:val="48"/>
      <w:szCs w:val="48"/>
    </w:rPr>
  </w:style>
</w:styles>
</file>

<file path=word/_rels/document.xml.rels><?xml version="1.0" encoding="UTF-8" standalone="yes"?><Relationships xmlns="http://schemas.openxmlformats.org/package/2006/relationships"><Relationship Id="rId5" Type="http://schemas.openxmlformats.org/officeDocument/2006/relationships/image" Target="media/image2.png" /><Relationship Id="rId4" Type="http://schemas.openxmlformats.org/officeDocument/2006/relationships/image" Target="media/image1.png" /><Relationship Id="rId6" Type="http://schemas.openxmlformats.org/officeDocument/2006/relationships/image" Target="media/image3.png" /><Relationship Id="rId32" Type="http://schemas.openxmlformats.org/officeDocument/2006/relationships/image" Target="media/image29.png" /><Relationship Id="rId3" Type="http://schemas.openxmlformats.org/officeDocument/2006/relationships/numbering" Target="numbering.xml" /><Relationship Id="rId31" Type="http://schemas.openxmlformats.org/officeDocument/2006/relationships/image" Target="media/image28.png" /><Relationship Id="rId29" Type="http://schemas.openxmlformats.org/officeDocument/2006/relationships/image" Target="media/image26.png" /><Relationship Id="rId7" Type="http://schemas.openxmlformats.org/officeDocument/2006/relationships/image" Target="media/image4.png" /><Relationship Id="rId30" Type="http://schemas.openxmlformats.org/officeDocument/2006/relationships/image" Target="media/image27.png" /><Relationship Id="rId28" Type="http://schemas.openxmlformats.org/officeDocument/2006/relationships/image" Target="media/image25.png" /><Relationship Id="rId27" Type="http://schemas.openxmlformats.org/officeDocument/2006/relationships/image" Target="media/image24.png" /><Relationship Id="rId26" Type="http://schemas.openxmlformats.org/officeDocument/2006/relationships/image" Target="media/image23.png" /><Relationship Id="rId25" Type="http://schemas.openxmlformats.org/officeDocument/2006/relationships/image" Target="media/image22.png" /><Relationship Id="rId24" Type="http://schemas.openxmlformats.org/officeDocument/2006/relationships/image" Target="media/image21.png" /><Relationship Id="rId8" Type="http://schemas.openxmlformats.org/officeDocument/2006/relationships/image" Target="media/image5.png" /><Relationship Id="rId23" Type="http://schemas.openxmlformats.org/officeDocument/2006/relationships/image" Target="media/image20.png" /><Relationship Id="rId12" Type="http://schemas.openxmlformats.org/officeDocument/2006/relationships/image" Target="media/image9.png" /><Relationship Id="rId2" Type="http://schemas.openxmlformats.org/officeDocument/2006/relationships/fontTable" Target="fontTable.xml" /><Relationship Id="rId20" Type="http://schemas.openxmlformats.org/officeDocument/2006/relationships/image" Target="media/image17.png" /><Relationship Id="rId10" Type="http://schemas.openxmlformats.org/officeDocument/2006/relationships/image" Target="media/image7.png" /><Relationship Id="rId13" Type="http://schemas.openxmlformats.org/officeDocument/2006/relationships/image" Target="media/image10.png" /><Relationship Id="rId11" Type="http://schemas.openxmlformats.org/officeDocument/2006/relationships/image" Target="media/image8.png" /><Relationship Id="rId1" Type="http://schemas.openxmlformats.org/officeDocument/2006/relationships/settings" Target="settings.xml" /><Relationship Id="rId18" Type="http://schemas.openxmlformats.org/officeDocument/2006/relationships/image" Target="media/image15.png" /><Relationship Id="rId22" Type="http://schemas.openxmlformats.org/officeDocument/2006/relationships/image" Target="media/image19.png" /><Relationship Id="rId0" Type="http://schemas.openxmlformats.org/officeDocument/2006/relationships/styles" Target="styles.xml" /><Relationship Id="rId21" Type="http://schemas.openxmlformats.org/officeDocument/2006/relationships/image" Target="media/image18.png" /><Relationship Id="rId14" Type="http://schemas.openxmlformats.org/officeDocument/2006/relationships/image" Target="media/image11.png" /><Relationship Id="rId15" Type="http://schemas.openxmlformats.org/officeDocument/2006/relationships/image" Target="media/image12.png" /><Relationship Id="rId9" Type="http://schemas.openxmlformats.org/officeDocument/2006/relationships/image" Target="media/image6.png" /><Relationship Id="rId16" Type="http://schemas.openxmlformats.org/officeDocument/2006/relationships/image" Target="media/image13.png" /><Relationship Id="rId17" Type="http://schemas.openxmlformats.org/officeDocument/2006/relationships/image" Target="media/image14.png" /><Relationship Id="rId19" Type="http://schemas.openxmlformats.org/officeDocument/2006/relationships/image" Target="media/image16.png" /></Relationships>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2025-10-13T11:56:02Z</dcterms:created>
  <dcterms:modified xsi:type="dcterms:W3CDTF">2025-10-13T11:56:02Z</dcterms:modified>
</cp:coreProperties>
</file>